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01329" w14:textId="77777777" w:rsidR="00FA080B" w:rsidRDefault="004E075C" w:rsidP="00FA080B">
      <w:pPr>
        <w:spacing w:before="75"/>
        <w:ind w:left="1414" w:right="1395"/>
        <w:jc w:val="center"/>
        <w:rPr>
          <w:b/>
          <w:spacing w:val="-8"/>
          <w:sz w:val="24"/>
        </w:rPr>
      </w:pPr>
      <w:r>
        <w:rPr>
          <w:b/>
          <w:sz w:val="24"/>
        </w:rPr>
        <w:t>Columbia</w:t>
      </w:r>
      <w:r>
        <w:rPr>
          <w:b/>
          <w:spacing w:val="-9"/>
          <w:sz w:val="24"/>
        </w:rPr>
        <w:t xml:space="preserve"> </w:t>
      </w:r>
      <w:r>
        <w:rPr>
          <w:b/>
          <w:sz w:val="24"/>
        </w:rPr>
        <w:t>University</w:t>
      </w:r>
      <w:r>
        <w:rPr>
          <w:b/>
          <w:spacing w:val="-8"/>
          <w:sz w:val="24"/>
        </w:rPr>
        <w:t xml:space="preserve"> </w:t>
      </w:r>
    </w:p>
    <w:p w14:paraId="616BCBCF" w14:textId="2062AD97" w:rsidR="00D6345A" w:rsidRDefault="00FA080B" w:rsidP="00FA080B">
      <w:pPr>
        <w:spacing w:before="75"/>
        <w:ind w:left="1414" w:right="1395"/>
        <w:jc w:val="center"/>
        <w:rPr>
          <w:b/>
          <w:sz w:val="24"/>
        </w:rPr>
      </w:pPr>
      <w:r>
        <w:rPr>
          <w:b/>
          <w:spacing w:val="-8"/>
          <w:sz w:val="24"/>
        </w:rPr>
        <w:t xml:space="preserve">Institutional Review Board </w:t>
      </w:r>
      <w:r>
        <w:rPr>
          <w:b/>
          <w:spacing w:val="-2"/>
          <w:sz w:val="24"/>
        </w:rPr>
        <w:t>Policy</w:t>
      </w:r>
    </w:p>
    <w:p w14:paraId="7F769BB6" w14:textId="77777777" w:rsidR="00D6345A" w:rsidRDefault="00D6345A">
      <w:pPr>
        <w:pStyle w:val="BodyText"/>
        <w:rPr>
          <w:b/>
        </w:rPr>
      </w:pPr>
    </w:p>
    <w:p w14:paraId="04409B51" w14:textId="77777777" w:rsidR="00D6345A" w:rsidRDefault="004E075C">
      <w:pPr>
        <w:ind w:left="1414" w:right="1396"/>
        <w:jc w:val="center"/>
        <w:rPr>
          <w:b/>
          <w:sz w:val="24"/>
        </w:rPr>
      </w:pPr>
      <w:r>
        <w:rPr>
          <w:b/>
          <w:sz w:val="24"/>
        </w:rPr>
        <w:t>Data</w:t>
      </w:r>
      <w:r>
        <w:rPr>
          <w:b/>
          <w:spacing w:val="-5"/>
          <w:sz w:val="24"/>
        </w:rPr>
        <w:t xml:space="preserve"> </w:t>
      </w:r>
      <w:r>
        <w:rPr>
          <w:b/>
          <w:sz w:val="24"/>
        </w:rPr>
        <w:t>Security</w:t>
      </w:r>
      <w:r>
        <w:rPr>
          <w:b/>
          <w:spacing w:val="-5"/>
          <w:sz w:val="24"/>
        </w:rPr>
        <w:t xml:space="preserve"> </w:t>
      </w:r>
      <w:r>
        <w:rPr>
          <w:b/>
          <w:sz w:val="24"/>
        </w:rPr>
        <w:t>Plans</w:t>
      </w:r>
      <w:r>
        <w:rPr>
          <w:b/>
          <w:spacing w:val="-5"/>
          <w:sz w:val="24"/>
        </w:rPr>
        <w:t xml:space="preserve"> </w:t>
      </w:r>
      <w:r>
        <w:rPr>
          <w:b/>
          <w:sz w:val="24"/>
        </w:rPr>
        <w:t>Involving</w:t>
      </w:r>
      <w:r>
        <w:rPr>
          <w:b/>
          <w:spacing w:val="-5"/>
          <w:sz w:val="24"/>
        </w:rPr>
        <w:t xml:space="preserve"> </w:t>
      </w:r>
      <w:r>
        <w:rPr>
          <w:b/>
          <w:sz w:val="24"/>
        </w:rPr>
        <w:t>the</w:t>
      </w:r>
      <w:r>
        <w:rPr>
          <w:b/>
          <w:spacing w:val="-5"/>
          <w:sz w:val="24"/>
        </w:rPr>
        <w:t xml:space="preserve"> </w:t>
      </w:r>
      <w:r>
        <w:rPr>
          <w:b/>
          <w:sz w:val="24"/>
        </w:rPr>
        <w:t>Use,</w:t>
      </w:r>
      <w:r>
        <w:rPr>
          <w:b/>
          <w:spacing w:val="-5"/>
          <w:sz w:val="24"/>
        </w:rPr>
        <w:t xml:space="preserve"> </w:t>
      </w:r>
      <w:r>
        <w:rPr>
          <w:b/>
          <w:sz w:val="24"/>
        </w:rPr>
        <w:t>Storage</w:t>
      </w:r>
      <w:r>
        <w:rPr>
          <w:b/>
          <w:spacing w:val="-5"/>
          <w:sz w:val="24"/>
        </w:rPr>
        <w:t xml:space="preserve"> </w:t>
      </w:r>
      <w:r>
        <w:rPr>
          <w:b/>
          <w:sz w:val="24"/>
        </w:rPr>
        <w:t>or</w:t>
      </w:r>
      <w:r>
        <w:rPr>
          <w:b/>
          <w:spacing w:val="-5"/>
          <w:sz w:val="24"/>
        </w:rPr>
        <w:t xml:space="preserve"> </w:t>
      </w:r>
      <w:r>
        <w:rPr>
          <w:b/>
          <w:sz w:val="24"/>
        </w:rPr>
        <w:t>Transmission</w:t>
      </w:r>
      <w:r>
        <w:rPr>
          <w:b/>
          <w:spacing w:val="-5"/>
          <w:sz w:val="24"/>
        </w:rPr>
        <w:t xml:space="preserve"> </w:t>
      </w:r>
      <w:r>
        <w:rPr>
          <w:b/>
          <w:sz w:val="24"/>
        </w:rPr>
        <w:t>of Electronic Research Data Constituting Sensitive Data</w:t>
      </w:r>
    </w:p>
    <w:p w14:paraId="3D933231" w14:textId="77777777" w:rsidR="00D6345A" w:rsidRDefault="00D6345A">
      <w:pPr>
        <w:pStyle w:val="BodyText"/>
        <w:rPr>
          <w:b/>
        </w:rPr>
      </w:pPr>
    </w:p>
    <w:p w14:paraId="52F94B61" w14:textId="77777777" w:rsidR="00D6345A" w:rsidRDefault="004E075C">
      <w:pPr>
        <w:pStyle w:val="ListParagraph"/>
        <w:numPr>
          <w:ilvl w:val="0"/>
          <w:numId w:val="1"/>
        </w:numPr>
        <w:tabs>
          <w:tab w:val="left" w:pos="659"/>
          <w:tab w:val="left" w:pos="660"/>
        </w:tabs>
        <w:rPr>
          <w:b/>
          <w:sz w:val="24"/>
        </w:rPr>
      </w:pPr>
      <w:r>
        <w:rPr>
          <w:b/>
          <w:spacing w:val="-2"/>
          <w:sz w:val="24"/>
        </w:rPr>
        <w:t>Background</w:t>
      </w:r>
    </w:p>
    <w:p w14:paraId="40CDB050" w14:textId="77777777" w:rsidR="00D6345A" w:rsidRDefault="00D6345A">
      <w:pPr>
        <w:pStyle w:val="BodyText"/>
        <w:spacing w:before="9"/>
        <w:rPr>
          <w:b/>
          <w:sz w:val="23"/>
        </w:rPr>
      </w:pPr>
    </w:p>
    <w:p w14:paraId="2DF1D25E" w14:textId="5A77532C" w:rsidR="00D6345A" w:rsidRDefault="004E075C">
      <w:pPr>
        <w:pStyle w:val="BodyText"/>
        <w:ind w:left="120" w:right="327"/>
      </w:pPr>
      <w:r>
        <w:t>Pursuant</w:t>
      </w:r>
      <w:r>
        <w:rPr>
          <w:spacing w:val="-4"/>
        </w:rPr>
        <w:t xml:space="preserve"> </w:t>
      </w:r>
      <w:r>
        <w:t>to</w:t>
      </w:r>
      <w:r>
        <w:rPr>
          <w:spacing w:val="-4"/>
        </w:rPr>
        <w:t xml:space="preserve"> </w:t>
      </w:r>
      <w:r>
        <w:t>regulations</w:t>
      </w:r>
      <w:r>
        <w:rPr>
          <w:spacing w:val="-4"/>
        </w:rPr>
        <w:t xml:space="preserve"> </w:t>
      </w:r>
      <w:r>
        <w:t>of</w:t>
      </w:r>
      <w:r>
        <w:rPr>
          <w:spacing w:val="-4"/>
        </w:rPr>
        <w:t xml:space="preserve"> </w:t>
      </w:r>
      <w:r>
        <w:t>the</w:t>
      </w:r>
      <w:r>
        <w:rPr>
          <w:spacing w:val="-4"/>
        </w:rPr>
        <w:t xml:space="preserve"> </w:t>
      </w:r>
      <w:r>
        <w:t>Department</w:t>
      </w:r>
      <w:r>
        <w:rPr>
          <w:spacing w:val="-3"/>
        </w:rPr>
        <w:t xml:space="preserve"> </w:t>
      </w:r>
      <w:r>
        <w:t>of</w:t>
      </w:r>
      <w:r>
        <w:rPr>
          <w:spacing w:val="-3"/>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3"/>
        </w:rPr>
        <w:t xml:space="preserve"> </w:t>
      </w:r>
      <w:r>
        <w:t>(</w:t>
      </w:r>
      <w:r>
        <w:rPr>
          <w:b/>
        </w:rPr>
        <w:t>HHS</w:t>
      </w:r>
      <w:r>
        <w:t>),</w:t>
      </w:r>
      <w:r>
        <w:rPr>
          <w:spacing w:val="-4"/>
        </w:rPr>
        <w:t xml:space="preserve"> </w:t>
      </w:r>
      <w:r>
        <w:t>including</w:t>
      </w:r>
      <w:r>
        <w:rPr>
          <w:spacing w:val="-4"/>
        </w:rPr>
        <w:t xml:space="preserve"> </w:t>
      </w:r>
      <w:r>
        <w:t>the National Institutes of Health (</w:t>
      </w:r>
      <w:r>
        <w:rPr>
          <w:b/>
        </w:rPr>
        <w:t>NIH</w:t>
      </w:r>
      <w:r>
        <w:t>) and the Food and Drug Administration (</w:t>
      </w:r>
      <w:r>
        <w:rPr>
          <w:b/>
        </w:rPr>
        <w:t>FDA</w:t>
      </w:r>
      <w:r>
        <w:t xml:space="preserve">), the </w:t>
      </w:r>
      <w:r w:rsidR="00FA080B">
        <w:t>Institutional Review Board (</w:t>
      </w:r>
      <w:r w:rsidRPr="00AC058B">
        <w:rPr>
          <w:b/>
          <w:bCs/>
        </w:rPr>
        <w:t>IRB</w:t>
      </w:r>
      <w:r w:rsidR="00FA080B">
        <w:t>)</w:t>
      </w:r>
      <w:r>
        <w:t xml:space="preserve"> is charged</w:t>
      </w:r>
      <w:r>
        <w:rPr>
          <w:spacing w:val="-2"/>
        </w:rPr>
        <w:t xml:space="preserve"> </w:t>
      </w:r>
      <w:r>
        <w:t>with</w:t>
      </w:r>
      <w:r>
        <w:rPr>
          <w:spacing w:val="-2"/>
        </w:rPr>
        <w:t xml:space="preserve"> </w:t>
      </w:r>
      <w:r>
        <w:t>ensuring</w:t>
      </w:r>
      <w:r>
        <w:rPr>
          <w:spacing w:val="-2"/>
        </w:rPr>
        <w:t xml:space="preserve"> </w:t>
      </w:r>
      <w:r>
        <w:t>that</w:t>
      </w:r>
      <w:r>
        <w:rPr>
          <w:spacing w:val="-2"/>
        </w:rPr>
        <w:t xml:space="preserve"> </w:t>
      </w:r>
      <w:r>
        <w:t>each</w:t>
      </w:r>
      <w:r>
        <w:rPr>
          <w:spacing w:val="-2"/>
        </w:rPr>
        <w:t xml:space="preserve"> </w:t>
      </w:r>
      <w:r>
        <w:t>human</w:t>
      </w:r>
      <w:r>
        <w:rPr>
          <w:spacing w:val="-2"/>
        </w:rPr>
        <w:t xml:space="preserve"> </w:t>
      </w:r>
      <w:proofErr w:type="gramStart"/>
      <w:r>
        <w:t>subjects</w:t>
      </w:r>
      <w:proofErr w:type="gramEnd"/>
      <w:r>
        <w:rPr>
          <w:spacing w:val="-2"/>
        </w:rPr>
        <w:t xml:space="preserve"> </w:t>
      </w:r>
      <w:r>
        <w:t>protocol</w:t>
      </w:r>
      <w:r>
        <w:rPr>
          <w:spacing w:val="-1"/>
        </w:rPr>
        <w:t xml:space="preserve"> </w:t>
      </w:r>
      <w:r>
        <w:t>includes</w:t>
      </w:r>
      <w:r>
        <w:rPr>
          <w:spacing w:val="-1"/>
        </w:rPr>
        <w:t xml:space="preserve"> </w:t>
      </w:r>
      <w:r>
        <w:t>provisions</w:t>
      </w:r>
      <w:r>
        <w:rPr>
          <w:spacing w:val="-1"/>
        </w:rPr>
        <w:t xml:space="preserve"> </w:t>
      </w:r>
      <w:r>
        <w:t>for</w:t>
      </w:r>
      <w:r>
        <w:rPr>
          <w:spacing w:val="-1"/>
        </w:rPr>
        <w:t xml:space="preserve"> </w:t>
      </w:r>
      <w:r>
        <w:t>protecting</w:t>
      </w:r>
      <w:r>
        <w:rPr>
          <w:spacing w:val="-1"/>
        </w:rPr>
        <w:t xml:space="preserve"> </w:t>
      </w:r>
      <w:r>
        <w:t>the privacy of subjects and maintaining the confidentiality of study data. This is particularly important</w:t>
      </w:r>
      <w:r>
        <w:rPr>
          <w:spacing w:val="-2"/>
        </w:rPr>
        <w:t xml:space="preserve"> </w:t>
      </w:r>
      <w:r>
        <w:t>when</w:t>
      </w:r>
      <w:r>
        <w:rPr>
          <w:spacing w:val="-2"/>
        </w:rPr>
        <w:t xml:space="preserve"> </w:t>
      </w:r>
      <w:r>
        <w:t>the</w:t>
      </w:r>
      <w:r>
        <w:rPr>
          <w:spacing w:val="-2"/>
        </w:rPr>
        <w:t xml:space="preserve"> </w:t>
      </w:r>
      <w:r>
        <w:t>study</w:t>
      </w:r>
      <w:r>
        <w:rPr>
          <w:spacing w:val="-2"/>
        </w:rPr>
        <w:t xml:space="preserve"> </w:t>
      </w:r>
      <w:r>
        <w:t>involves</w:t>
      </w:r>
      <w:r>
        <w:rPr>
          <w:spacing w:val="-2"/>
        </w:rPr>
        <w:t xml:space="preserve"> </w:t>
      </w:r>
      <w:r>
        <w:t>data</w:t>
      </w:r>
      <w:r>
        <w:rPr>
          <w:spacing w:val="-2"/>
        </w:rPr>
        <w:t xml:space="preserve"> </w:t>
      </w:r>
      <w:r>
        <w:t>constituting</w:t>
      </w:r>
      <w:r>
        <w:rPr>
          <w:spacing w:val="-2"/>
        </w:rPr>
        <w:t xml:space="preserve"> </w:t>
      </w:r>
      <w:r w:rsidRPr="00AC058B">
        <w:rPr>
          <w:b/>
          <w:bCs/>
        </w:rPr>
        <w:t>Sensitive</w:t>
      </w:r>
      <w:r w:rsidRPr="00AC058B">
        <w:rPr>
          <w:b/>
          <w:bCs/>
          <w:spacing w:val="-2"/>
        </w:rPr>
        <w:t xml:space="preserve"> </w:t>
      </w:r>
      <w:r w:rsidRPr="00AC058B">
        <w:rPr>
          <w:b/>
          <w:bCs/>
        </w:rPr>
        <w:t>Data</w:t>
      </w:r>
      <w:r w:rsidRPr="00AC058B">
        <w:rPr>
          <w:b/>
          <w:bCs/>
          <w:spacing w:val="-2"/>
        </w:rPr>
        <w:t xml:space="preserve"> </w:t>
      </w:r>
      <w:r w:rsidR="00FA080B">
        <w:rPr>
          <w:spacing w:val="-2"/>
        </w:rPr>
        <w:t xml:space="preserve">(as defined in </w:t>
      </w:r>
      <w:r>
        <w:t xml:space="preserve">the Columbia University </w:t>
      </w:r>
      <w:hyperlink r:id="rId8" w:history="1">
        <w:r w:rsidRPr="004D1E70">
          <w:rPr>
            <w:rStyle w:val="Hyperlink"/>
          </w:rPr>
          <w:t>Data Classification Policy</w:t>
        </w:r>
      </w:hyperlink>
      <w:r>
        <w:t xml:space="preserve"> (the </w:t>
      </w:r>
      <w:r>
        <w:rPr>
          <w:b/>
        </w:rPr>
        <w:t>Data Classification</w:t>
      </w:r>
      <w:r w:rsidR="004544A1">
        <w:rPr>
          <w:color w:val="0000FF"/>
          <w:spacing w:val="-1"/>
        </w:rPr>
        <w:t xml:space="preserve"> </w:t>
      </w:r>
      <w:r w:rsidR="004544A1" w:rsidRPr="004D1E70">
        <w:rPr>
          <w:b/>
          <w:bCs/>
          <w:spacing w:val="-1"/>
        </w:rPr>
        <w:t>Policy)</w:t>
      </w:r>
      <w:r w:rsidR="004544A1" w:rsidRPr="004D1E70">
        <w:rPr>
          <w:spacing w:val="-1"/>
        </w:rPr>
        <w:t xml:space="preserve"> </w:t>
      </w:r>
      <w:r>
        <w:t>and is therefore subject to the most stringent data security requirements.</w:t>
      </w:r>
    </w:p>
    <w:p w14:paraId="312029CE" w14:textId="77777777" w:rsidR="00FA080B" w:rsidRDefault="00FA080B">
      <w:pPr>
        <w:pStyle w:val="BodyText"/>
        <w:ind w:left="120" w:right="327"/>
      </w:pPr>
    </w:p>
    <w:p w14:paraId="39F08C84" w14:textId="77A410D9" w:rsidR="00FA080B" w:rsidRPr="00BB5A01" w:rsidRDefault="00FA080B">
      <w:pPr>
        <w:pStyle w:val="BodyText"/>
        <w:ind w:left="120" w:right="327"/>
      </w:pPr>
      <w:r>
        <w:t xml:space="preserve">Unless otherwise indicated, capitalized terms used in this Policy without definition are defined in the Columbia University </w:t>
      </w:r>
      <w:hyperlink r:id="rId9" w:history="1">
        <w:r w:rsidR="00BB5A01" w:rsidRPr="004D1E70">
          <w:rPr>
            <w:rStyle w:val="Hyperlink"/>
          </w:rPr>
          <w:t>Information Charter</w:t>
        </w:r>
      </w:hyperlink>
      <w:r w:rsidR="00BB5A01">
        <w:t xml:space="preserve"> (the </w:t>
      </w:r>
      <w:r w:rsidR="00BB5A01">
        <w:rPr>
          <w:b/>
          <w:bCs/>
        </w:rPr>
        <w:t>Charter)</w:t>
      </w:r>
      <w:r w:rsidR="004544A1">
        <w:t>.</w:t>
      </w:r>
      <w:r w:rsidR="00BB5A01">
        <w:t xml:space="preserve"> </w:t>
      </w:r>
    </w:p>
    <w:p w14:paraId="5C4B8522" w14:textId="77777777" w:rsidR="00D6345A" w:rsidRDefault="00D6345A">
      <w:pPr>
        <w:pStyle w:val="BodyText"/>
      </w:pPr>
    </w:p>
    <w:p w14:paraId="6572AFB5" w14:textId="54202DDD" w:rsidR="00047BEB" w:rsidRDefault="004E075C">
      <w:pPr>
        <w:pStyle w:val="ListParagraph"/>
        <w:numPr>
          <w:ilvl w:val="0"/>
          <w:numId w:val="1"/>
        </w:numPr>
        <w:tabs>
          <w:tab w:val="left" w:pos="660"/>
          <w:tab w:val="left" w:pos="661"/>
        </w:tabs>
        <w:ind w:left="120" w:right="281" w:firstLine="0"/>
        <w:rPr>
          <w:sz w:val="24"/>
        </w:rPr>
      </w:pPr>
      <w:r>
        <w:rPr>
          <w:b/>
          <w:sz w:val="24"/>
        </w:rPr>
        <w:t>Effective</w:t>
      </w:r>
      <w:r>
        <w:rPr>
          <w:b/>
          <w:spacing w:val="-3"/>
          <w:sz w:val="24"/>
        </w:rPr>
        <w:t xml:space="preserve"> </w:t>
      </w:r>
      <w:r>
        <w:rPr>
          <w:b/>
          <w:sz w:val="24"/>
        </w:rPr>
        <w:t>Date:</w:t>
      </w:r>
      <w:r>
        <w:rPr>
          <w:b/>
          <w:spacing w:val="-3"/>
          <w:sz w:val="24"/>
        </w:rPr>
        <w:t xml:space="preserve"> </w:t>
      </w:r>
      <w:r>
        <w:rPr>
          <w:sz w:val="24"/>
        </w:rPr>
        <w:t>This</w:t>
      </w:r>
      <w:r>
        <w:rPr>
          <w:spacing w:val="-3"/>
          <w:sz w:val="24"/>
        </w:rPr>
        <w:t xml:space="preserve"> </w:t>
      </w:r>
      <w:r>
        <w:rPr>
          <w:sz w:val="24"/>
        </w:rPr>
        <w:t>Policy</w:t>
      </w:r>
      <w:r w:rsidR="00047BEB">
        <w:rPr>
          <w:sz w:val="24"/>
        </w:rPr>
        <w:t xml:space="preserve">, originally dated </w:t>
      </w:r>
      <w:r>
        <w:rPr>
          <w:sz w:val="24"/>
        </w:rPr>
        <w:t>as</w:t>
      </w:r>
      <w:r>
        <w:rPr>
          <w:spacing w:val="-3"/>
          <w:sz w:val="24"/>
        </w:rPr>
        <w:t xml:space="preserve"> </w:t>
      </w:r>
      <w:r>
        <w:rPr>
          <w:sz w:val="24"/>
        </w:rPr>
        <w:t>of</w:t>
      </w:r>
      <w:r>
        <w:rPr>
          <w:spacing w:val="-5"/>
          <w:sz w:val="24"/>
        </w:rPr>
        <w:t xml:space="preserve"> </w:t>
      </w:r>
      <w:r>
        <w:rPr>
          <w:sz w:val="24"/>
        </w:rPr>
        <w:t>November</w:t>
      </w:r>
      <w:r>
        <w:rPr>
          <w:spacing w:val="-3"/>
          <w:sz w:val="24"/>
        </w:rPr>
        <w:t xml:space="preserve"> </w:t>
      </w:r>
      <w:r>
        <w:rPr>
          <w:sz w:val="24"/>
        </w:rPr>
        <w:t>15,</w:t>
      </w:r>
      <w:r>
        <w:rPr>
          <w:spacing w:val="-4"/>
          <w:sz w:val="24"/>
        </w:rPr>
        <w:t xml:space="preserve"> </w:t>
      </w:r>
      <w:r>
        <w:rPr>
          <w:sz w:val="24"/>
        </w:rPr>
        <w:t>2013</w:t>
      </w:r>
      <w:r w:rsidR="00047BEB">
        <w:rPr>
          <w:spacing w:val="-4"/>
          <w:sz w:val="24"/>
        </w:rPr>
        <w:t xml:space="preserve">, </w:t>
      </w:r>
      <w:r>
        <w:rPr>
          <w:sz w:val="24"/>
        </w:rPr>
        <w:t>was</w:t>
      </w:r>
      <w:r>
        <w:rPr>
          <w:spacing w:val="-4"/>
          <w:sz w:val="24"/>
        </w:rPr>
        <w:t xml:space="preserve"> </w:t>
      </w:r>
      <w:r>
        <w:rPr>
          <w:sz w:val="24"/>
        </w:rPr>
        <w:t>amended as</w:t>
      </w:r>
      <w:r>
        <w:rPr>
          <w:spacing w:val="-1"/>
          <w:sz w:val="24"/>
        </w:rPr>
        <w:t xml:space="preserve"> </w:t>
      </w:r>
      <w:r>
        <w:rPr>
          <w:sz w:val="24"/>
        </w:rPr>
        <w:t>of</w:t>
      </w:r>
      <w:r>
        <w:rPr>
          <w:spacing w:val="-1"/>
          <w:sz w:val="24"/>
        </w:rPr>
        <w:t xml:space="preserve"> </w:t>
      </w:r>
      <w:r>
        <w:rPr>
          <w:sz w:val="24"/>
        </w:rPr>
        <w:t>January</w:t>
      </w:r>
      <w:r>
        <w:rPr>
          <w:spacing w:val="-1"/>
          <w:sz w:val="24"/>
        </w:rPr>
        <w:t xml:space="preserve"> </w:t>
      </w:r>
      <w:r>
        <w:rPr>
          <w:sz w:val="24"/>
        </w:rPr>
        <w:t>18,</w:t>
      </w:r>
      <w:r>
        <w:rPr>
          <w:spacing w:val="-1"/>
          <w:sz w:val="24"/>
        </w:rPr>
        <w:t xml:space="preserve"> </w:t>
      </w:r>
      <w:proofErr w:type="gramStart"/>
      <w:r>
        <w:rPr>
          <w:sz w:val="24"/>
        </w:rPr>
        <w:t>2018</w:t>
      </w:r>
      <w:proofErr w:type="gramEnd"/>
      <w:r w:rsidR="00BB5A01">
        <w:rPr>
          <w:sz w:val="24"/>
        </w:rPr>
        <w:t xml:space="preserve"> and </w:t>
      </w:r>
      <w:r w:rsidR="004523D0">
        <w:rPr>
          <w:sz w:val="24"/>
        </w:rPr>
        <w:t>October 10</w:t>
      </w:r>
      <w:r w:rsidR="00BB5A01">
        <w:rPr>
          <w:sz w:val="24"/>
        </w:rPr>
        <w:t>, 2022</w:t>
      </w:r>
      <w:r w:rsidR="00047BEB">
        <w:rPr>
          <w:sz w:val="24"/>
        </w:rPr>
        <w:t xml:space="preserve">, and as so amended became effective as of October 10, 2022. </w:t>
      </w:r>
    </w:p>
    <w:p w14:paraId="4B47D01B" w14:textId="77777777" w:rsidR="00047BEB" w:rsidRPr="00047BEB" w:rsidRDefault="00047BEB" w:rsidP="00047BEB">
      <w:pPr>
        <w:tabs>
          <w:tab w:val="left" w:pos="660"/>
          <w:tab w:val="left" w:pos="661"/>
        </w:tabs>
        <w:ind w:right="281"/>
        <w:rPr>
          <w:sz w:val="24"/>
        </w:rPr>
      </w:pPr>
    </w:p>
    <w:p w14:paraId="583F59BE" w14:textId="17AFDEF0" w:rsidR="00D6345A" w:rsidRDefault="00047BEB" w:rsidP="00047BEB">
      <w:pPr>
        <w:pStyle w:val="ListParagraph"/>
        <w:tabs>
          <w:tab w:val="left" w:pos="660"/>
          <w:tab w:val="left" w:pos="661"/>
        </w:tabs>
        <w:ind w:left="120" w:right="281" w:firstLine="0"/>
        <w:rPr>
          <w:sz w:val="24"/>
        </w:rPr>
      </w:pPr>
      <w:r>
        <w:rPr>
          <w:sz w:val="24"/>
        </w:rPr>
        <w:t>T</w:t>
      </w:r>
      <w:r w:rsidR="004E075C">
        <w:rPr>
          <w:sz w:val="24"/>
        </w:rPr>
        <w:t>his</w:t>
      </w:r>
      <w:r w:rsidR="004E075C">
        <w:rPr>
          <w:spacing w:val="-1"/>
          <w:sz w:val="24"/>
        </w:rPr>
        <w:t xml:space="preserve"> </w:t>
      </w:r>
      <w:r w:rsidR="004E075C">
        <w:rPr>
          <w:sz w:val="24"/>
        </w:rPr>
        <w:t>Policy</w:t>
      </w:r>
      <w:r w:rsidR="004E075C">
        <w:rPr>
          <w:spacing w:val="-1"/>
          <w:sz w:val="24"/>
        </w:rPr>
        <w:t xml:space="preserve"> </w:t>
      </w:r>
      <w:r w:rsidR="004E075C">
        <w:rPr>
          <w:sz w:val="24"/>
        </w:rPr>
        <w:t>replace</w:t>
      </w:r>
      <w:r>
        <w:rPr>
          <w:sz w:val="24"/>
        </w:rPr>
        <w:t>d</w:t>
      </w:r>
      <w:r w:rsidR="004E075C">
        <w:rPr>
          <w:spacing w:val="-1"/>
          <w:sz w:val="24"/>
        </w:rPr>
        <w:t xml:space="preserve"> </w:t>
      </w:r>
      <w:r w:rsidR="004E075C">
        <w:rPr>
          <w:sz w:val="24"/>
        </w:rPr>
        <w:t>the</w:t>
      </w:r>
      <w:r w:rsidR="004E075C">
        <w:rPr>
          <w:spacing w:val="-2"/>
          <w:sz w:val="24"/>
        </w:rPr>
        <w:t xml:space="preserve"> </w:t>
      </w:r>
      <w:r w:rsidR="004E075C">
        <w:rPr>
          <w:sz w:val="24"/>
        </w:rPr>
        <w:t>IRB</w:t>
      </w:r>
      <w:r w:rsidR="004E075C">
        <w:rPr>
          <w:spacing w:val="-1"/>
          <w:sz w:val="24"/>
        </w:rPr>
        <w:t xml:space="preserve"> </w:t>
      </w:r>
      <w:r w:rsidR="004E075C">
        <w:rPr>
          <w:sz w:val="24"/>
        </w:rPr>
        <w:t>Policy:</w:t>
      </w:r>
      <w:r w:rsidR="004E075C">
        <w:rPr>
          <w:spacing w:val="-1"/>
          <w:sz w:val="24"/>
        </w:rPr>
        <w:t xml:space="preserve"> </w:t>
      </w:r>
      <w:r w:rsidR="004E075C">
        <w:rPr>
          <w:sz w:val="24"/>
        </w:rPr>
        <w:t>Data</w:t>
      </w:r>
      <w:r w:rsidR="004E075C">
        <w:rPr>
          <w:spacing w:val="-1"/>
          <w:sz w:val="24"/>
        </w:rPr>
        <w:t xml:space="preserve"> </w:t>
      </w:r>
      <w:r w:rsidR="004E075C">
        <w:rPr>
          <w:sz w:val="24"/>
        </w:rPr>
        <w:t>Security</w:t>
      </w:r>
      <w:r w:rsidR="004E075C">
        <w:rPr>
          <w:spacing w:val="-1"/>
          <w:sz w:val="24"/>
        </w:rPr>
        <w:t xml:space="preserve"> </w:t>
      </w:r>
      <w:r w:rsidR="004E075C">
        <w:rPr>
          <w:sz w:val="24"/>
        </w:rPr>
        <w:t>Plans</w:t>
      </w:r>
      <w:r w:rsidR="004E075C">
        <w:rPr>
          <w:spacing w:val="-1"/>
          <w:sz w:val="24"/>
        </w:rPr>
        <w:t xml:space="preserve"> </w:t>
      </w:r>
      <w:r w:rsidR="004E075C">
        <w:rPr>
          <w:sz w:val="24"/>
        </w:rPr>
        <w:t>Involving</w:t>
      </w:r>
      <w:r w:rsidR="004E075C">
        <w:rPr>
          <w:spacing w:val="-1"/>
          <w:sz w:val="24"/>
        </w:rPr>
        <w:t xml:space="preserve"> </w:t>
      </w:r>
      <w:r w:rsidR="004E075C">
        <w:rPr>
          <w:sz w:val="24"/>
        </w:rPr>
        <w:t>the Use, Storage or Transmission of Electronic Research Data Constituting Protected Health Information or Personally Identifiable Information, dated February 1, 2013.</w:t>
      </w:r>
    </w:p>
    <w:p w14:paraId="1162B98C" w14:textId="77777777" w:rsidR="00D6345A" w:rsidRDefault="00D6345A">
      <w:pPr>
        <w:pStyle w:val="BodyText"/>
        <w:spacing w:before="3"/>
      </w:pPr>
    </w:p>
    <w:p w14:paraId="1374FC70" w14:textId="77777777" w:rsidR="00D6345A" w:rsidRDefault="004E075C">
      <w:pPr>
        <w:pStyle w:val="Heading1"/>
        <w:numPr>
          <w:ilvl w:val="0"/>
          <w:numId w:val="1"/>
        </w:numPr>
        <w:tabs>
          <w:tab w:val="left" w:pos="660"/>
        </w:tabs>
        <w:ind w:hanging="541"/>
      </w:pPr>
      <w:r>
        <w:rPr>
          <w:spacing w:val="-2"/>
        </w:rPr>
        <w:t>Scope</w:t>
      </w:r>
    </w:p>
    <w:p w14:paraId="0A052098" w14:textId="77777777" w:rsidR="00D6345A" w:rsidRDefault="00D6345A">
      <w:pPr>
        <w:pStyle w:val="BodyText"/>
        <w:spacing w:before="9"/>
        <w:rPr>
          <w:b/>
          <w:sz w:val="23"/>
        </w:rPr>
      </w:pPr>
    </w:p>
    <w:p w14:paraId="01C01AC6" w14:textId="77777777" w:rsidR="00D6345A" w:rsidRDefault="004E075C">
      <w:pPr>
        <w:pStyle w:val="BodyText"/>
        <w:ind w:left="119" w:right="96"/>
      </w:pPr>
      <w:r>
        <w:t>This</w:t>
      </w:r>
      <w:r>
        <w:rPr>
          <w:spacing w:val="-2"/>
        </w:rPr>
        <w:t xml:space="preserve"> </w:t>
      </w:r>
      <w:r>
        <w:t>Policy</w:t>
      </w:r>
      <w:r>
        <w:rPr>
          <w:spacing w:val="-2"/>
        </w:rPr>
        <w:t xml:space="preserve"> </w:t>
      </w:r>
      <w:r>
        <w:t>provides</w:t>
      </w:r>
      <w:r>
        <w:rPr>
          <w:spacing w:val="-2"/>
        </w:rPr>
        <w:t xml:space="preserve"> </w:t>
      </w:r>
      <w:r>
        <w:t>standards</w:t>
      </w:r>
      <w:r>
        <w:rPr>
          <w:spacing w:val="-2"/>
        </w:rPr>
        <w:t xml:space="preserve"> </w:t>
      </w:r>
      <w:r>
        <w:t>for</w:t>
      </w:r>
      <w:r>
        <w:rPr>
          <w:spacing w:val="-2"/>
        </w:rPr>
        <w:t xml:space="preserve"> </w:t>
      </w:r>
      <w:r>
        <w:t>IRB</w:t>
      </w:r>
      <w:r>
        <w:rPr>
          <w:spacing w:val="-2"/>
        </w:rPr>
        <w:t xml:space="preserve"> </w:t>
      </w:r>
      <w:r>
        <w:t>review</w:t>
      </w:r>
      <w:r>
        <w:rPr>
          <w:spacing w:val="-2"/>
        </w:rPr>
        <w:t xml:space="preserve"> </w:t>
      </w:r>
      <w:r>
        <w:t>and</w:t>
      </w:r>
      <w:r>
        <w:rPr>
          <w:spacing w:val="-1"/>
        </w:rPr>
        <w:t xml:space="preserve"> </w:t>
      </w:r>
      <w:r>
        <w:t>approval</w:t>
      </w:r>
      <w:r>
        <w:rPr>
          <w:spacing w:val="-2"/>
        </w:rPr>
        <w:t xml:space="preserve"> </w:t>
      </w:r>
      <w:r>
        <w:t>of</w:t>
      </w:r>
      <w:r>
        <w:rPr>
          <w:spacing w:val="-2"/>
        </w:rPr>
        <w:t xml:space="preserve"> </w:t>
      </w:r>
      <w:r>
        <w:t>data</w:t>
      </w:r>
      <w:r>
        <w:rPr>
          <w:spacing w:val="-2"/>
        </w:rPr>
        <w:t xml:space="preserve"> </w:t>
      </w:r>
      <w:r>
        <w:t>security</w:t>
      </w:r>
      <w:r>
        <w:rPr>
          <w:spacing w:val="-1"/>
        </w:rPr>
        <w:t xml:space="preserve"> </w:t>
      </w:r>
      <w:r>
        <w:t>plans</w:t>
      </w:r>
      <w:r>
        <w:rPr>
          <w:spacing w:val="-1"/>
        </w:rPr>
        <w:t xml:space="preserve"> </w:t>
      </w:r>
      <w:r>
        <w:t>involving</w:t>
      </w:r>
      <w:r>
        <w:rPr>
          <w:spacing w:val="-1"/>
        </w:rPr>
        <w:t xml:space="preserve"> </w:t>
      </w:r>
      <w:r>
        <w:t xml:space="preserve">the storage of electronic research data constituting Sensitive Data in human </w:t>
      </w:r>
      <w:proofErr w:type="gramStart"/>
      <w:r>
        <w:t>subjects</w:t>
      </w:r>
      <w:proofErr w:type="gramEnd"/>
      <w:r>
        <w:t xml:space="preserve"> research conducted</w:t>
      </w:r>
      <w:r>
        <w:rPr>
          <w:spacing w:val="-4"/>
        </w:rPr>
        <w:t xml:space="preserve"> </w:t>
      </w:r>
      <w:r>
        <w:t>at</w:t>
      </w:r>
      <w:r>
        <w:rPr>
          <w:spacing w:val="-4"/>
        </w:rPr>
        <w:t xml:space="preserve"> </w:t>
      </w:r>
      <w:r>
        <w:t>Columbia</w:t>
      </w:r>
      <w:r>
        <w:rPr>
          <w:spacing w:val="-4"/>
        </w:rPr>
        <w:t xml:space="preserve"> </w:t>
      </w:r>
      <w:r>
        <w:t>University,</w:t>
      </w:r>
      <w:r>
        <w:rPr>
          <w:spacing w:val="-4"/>
        </w:rPr>
        <w:t xml:space="preserve"> </w:t>
      </w:r>
      <w:r>
        <w:t>including</w:t>
      </w:r>
      <w:r>
        <w:rPr>
          <w:spacing w:val="-5"/>
        </w:rPr>
        <w:t xml:space="preserve"> </w:t>
      </w:r>
      <w:r>
        <w:t>Columbia</w:t>
      </w:r>
      <w:r>
        <w:rPr>
          <w:spacing w:val="-4"/>
        </w:rPr>
        <w:t xml:space="preserve"> </w:t>
      </w:r>
      <w:r>
        <w:t>University</w:t>
      </w:r>
      <w:r>
        <w:rPr>
          <w:spacing w:val="-4"/>
        </w:rPr>
        <w:t xml:space="preserve"> </w:t>
      </w:r>
      <w:r w:rsidR="00BB5A01">
        <w:rPr>
          <w:spacing w:val="-4"/>
        </w:rPr>
        <w:t xml:space="preserve">Irving </w:t>
      </w:r>
      <w:r>
        <w:t>Medical</w:t>
      </w:r>
      <w:r>
        <w:rPr>
          <w:spacing w:val="-4"/>
        </w:rPr>
        <w:t xml:space="preserve"> </w:t>
      </w:r>
      <w:r>
        <w:t>Center</w:t>
      </w:r>
      <w:r>
        <w:rPr>
          <w:spacing w:val="-4"/>
        </w:rPr>
        <w:t xml:space="preserve"> </w:t>
      </w:r>
      <w:r>
        <w:t>(</w:t>
      </w:r>
      <w:r>
        <w:rPr>
          <w:b/>
        </w:rPr>
        <w:t>CU</w:t>
      </w:r>
      <w:r w:rsidR="00BB5A01">
        <w:rPr>
          <w:b/>
        </w:rPr>
        <w:t>I</w:t>
      </w:r>
      <w:r>
        <w:rPr>
          <w:b/>
        </w:rPr>
        <w:t>MC</w:t>
      </w:r>
      <w:r>
        <w:t>),</w:t>
      </w:r>
      <w:r>
        <w:rPr>
          <w:spacing w:val="-5"/>
        </w:rPr>
        <w:t xml:space="preserve"> </w:t>
      </w:r>
      <w:r>
        <w:t>or by Columbia University researchers. The intent of this Policy is to ensure that the protection of the privacy of research subjects and the confidentiality of identifiable research data is in accord with the requirements of HHS, NIH and FDA regulations and the Health Insurance Portability and Accountability Act (</w:t>
      </w:r>
      <w:r>
        <w:rPr>
          <w:b/>
        </w:rPr>
        <w:t>HIPAA</w:t>
      </w:r>
      <w:r>
        <w:t>).</w:t>
      </w:r>
    </w:p>
    <w:p w14:paraId="41CFD035" w14:textId="77777777" w:rsidR="00D6345A" w:rsidRDefault="00D6345A">
      <w:pPr>
        <w:pStyle w:val="BodyText"/>
        <w:spacing w:before="1"/>
      </w:pPr>
    </w:p>
    <w:p w14:paraId="5C735686" w14:textId="77777777" w:rsidR="00D6345A" w:rsidRDefault="004E075C">
      <w:pPr>
        <w:pStyle w:val="Heading1"/>
        <w:numPr>
          <w:ilvl w:val="0"/>
          <w:numId w:val="1"/>
        </w:numPr>
        <w:tabs>
          <w:tab w:val="left" w:pos="660"/>
          <w:tab w:val="left" w:pos="661"/>
        </w:tabs>
        <w:ind w:left="660" w:hanging="542"/>
      </w:pPr>
      <w:r>
        <w:t>Sensitive</w:t>
      </w:r>
      <w:r>
        <w:rPr>
          <w:spacing w:val="-10"/>
        </w:rPr>
        <w:t xml:space="preserve"> </w:t>
      </w:r>
      <w:r>
        <w:rPr>
          <w:spacing w:val="-4"/>
        </w:rPr>
        <w:t>Data</w:t>
      </w:r>
    </w:p>
    <w:p w14:paraId="4FCB3848" w14:textId="77777777" w:rsidR="00D6345A" w:rsidRDefault="00D6345A">
      <w:pPr>
        <w:pStyle w:val="BodyText"/>
        <w:spacing w:before="9"/>
        <w:rPr>
          <w:b/>
          <w:sz w:val="23"/>
        </w:rPr>
      </w:pPr>
    </w:p>
    <w:p w14:paraId="423B07AF" w14:textId="77777777" w:rsidR="00D6345A" w:rsidRDefault="004E075C">
      <w:pPr>
        <w:pStyle w:val="BodyText"/>
        <w:spacing w:before="1"/>
        <w:ind w:left="119"/>
      </w:pPr>
      <w:r>
        <w:t>Pursuant</w:t>
      </w:r>
      <w:r>
        <w:rPr>
          <w:spacing w:val="-9"/>
        </w:rPr>
        <w:t xml:space="preserve"> </w:t>
      </w:r>
      <w:r>
        <w:t>to</w:t>
      </w:r>
      <w:r>
        <w:rPr>
          <w:spacing w:val="-8"/>
        </w:rPr>
        <w:t xml:space="preserve"> </w:t>
      </w:r>
      <w:r>
        <w:t>the</w:t>
      </w:r>
      <w:r>
        <w:rPr>
          <w:spacing w:val="-8"/>
        </w:rPr>
        <w:t xml:space="preserve"> </w:t>
      </w:r>
      <w:r>
        <w:t>Data</w:t>
      </w:r>
      <w:r>
        <w:rPr>
          <w:spacing w:val="-8"/>
        </w:rPr>
        <w:t xml:space="preserve"> </w:t>
      </w:r>
      <w:r>
        <w:t>Classification</w:t>
      </w:r>
      <w:r>
        <w:rPr>
          <w:spacing w:val="-8"/>
        </w:rPr>
        <w:t xml:space="preserve"> </w:t>
      </w:r>
      <w:r>
        <w:t>Policy,</w:t>
      </w:r>
      <w:r>
        <w:rPr>
          <w:spacing w:val="-7"/>
        </w:rPr>
        <w:t xml:space="preserve"> </w:t>
      </w:r>
      <w:r>
        <w:t>Sensitive</w:t>
      </w:r>
      <w:r>
        <w:rPr>
          <w:spacing w:val="-8"/>
        </w:rPr>
        <w:t xml:space="preserve"> </w:t>
      </w:r>
      <w:r>
        <w:t>Data</w:t>
      </w:r>
      <w:r>
        <w:rPr>
          <w:spacing w:val="-8"/>
        </w:rPr>
        <w:t xml:space="preserve"> </w:t>
      </w:r>
      <w:r>
        <w:t>is</w:t>
      </w:r>
      <w:r>
        <w:rPr>
          <w:spacing w:val="-7"/>
        </w:rPr>
        <w:t xml:space="preserve"> </w:t>
      </w:r>
      <w:r>
        <w:t>defined</w:t>
      </w:r>
      <w:r>
        <w:rPr>
          <w:spacing w:val="-7"/>
        </w:rPr>
        <w:t xml:space="preserve"> </w:t>
      </w:r>
      <w:r>
        <w:t>as</w:t>
      </w:r>
      <w:r>
        <w:rPr>
          <w:spacing w:val="-8"/>
        </w:rPr>
        <w:t xml:space="preserve"> </w:t>
      </w:r>
      <w:r>
        <w:rPr>
          <w:spacing w:val="-2"/>
        </w:rPr>
        <w:t>follows:</w:t>
      </w:r>
    </w:p>
    <w:p w14:paraId="6DA2A322" w14:textId="77777777" w:rsidR="00D6345A" w:rsidRDefault="00D6345A">
      <w:pPr>
        <w:pStyle w:val="BodyText"/>
        <w:spacing w:before="11"/>
        <w:rPr>
          <w:sz w:val="23"/>
        </w:rPr>
      </w:pPr>
    </w:p>
    <w:p w14:paraId="13593209" w14:textId="4051C780" w:rsidR="00D054A2" w:rsidRDefault="004E075C">
      <w:pPr>
        <w:pStyle w:val="BodyText"/>
        <w:ind w:left="119" w:right="179"/>
      </w:pPr>
      <w:r>
        <w:t>“</w:t>
      </w:r>
      <w:r>
        <w:rPr>
          <w:b/>
        </w:rPr>
        <w:t xml:space="preserve">Sensitive Data: </w:t>
      </w:r>
      <w:r>
        <w:t xml:space="preserve">any information protected by federal, </w:t>
      </w:r>
      <w:proofErr w:type="gramStart"/>
      <w:r>
        <w:t>state</w:t>
      </w:r>
      <w:proofErr w:type="gramEnd"/>
      <w:r>
        <w:t xml:space="preserve"> and local laws and regulations or industry standards, such as HIPAA, the Health Information Technology for Economic an</w:t>
      </w:r>
      <w:r w:rsidR="00BB5A01">
        <w:t xml:space="preserve">d </w:t>
      </w:r>
      <w:r>
        <w:t xml:space="preserve">Clinical Health Act (HITECH), the New York State Information Security Breach and </w:t>
      </w:r>
    </w:p>
    <w:p w14:paraId="5FE13F49" w14:textId="77777777" w:rsidR="00D054A2" w:rsidRDefault="00D054A2">
      <w:pPr>
        <w:rPr>
          <w:sz w:val="24"/>
          <w:szCs w:val="24"/>
        </w:rPr>
      </w:pPr>
    </w:p>
    <w:p w14:paraId="5F45C050" w14:textId="77777777" w:rsidR="00D6345A" w:rsidRDefault="004E075C">
      <w:pPr>
        <w:pStyle w:val="BodyText"/>
        <w:ind w:left="119" w:right="179"/>
      </w:pPr>
      <w:r>
        <w:t>Notification</w:t>
      </w:r>
      <w:r>
        <w:rPr>
          <w:spacing w:val="-4"/>
        </w:rPr>
        <w:t xml:space="preserve"> </w:t>
      </w:r>
      <w:r>
        <w:t>Act,</w:t>
      </w:r>
      <w:r>
        <w:rPr>
          <w:spacing w:val="-4"/>
        </w:rPr>
        <w:t xml:space="preserve"> </w:t>
      </w:r>
      <w:r>
        <w:t>similar</w:t>
      </w:r>
      <w:r>
        <w:rPr>
          <w:spacing w:val="-4"/>
        </w:rPr>
        <w:t xml:space="preserve"> </w:t>
      </w:r>
      <w:r>
        <w:t>state</w:t>
      </w:r>
      <w:r>
        <w:rPr>
          <w:spacing w:val="-4"/>
        </w:rPr>
        <w:t xml:space="preserve"> </w:t>
      </w:r>
      <w:r>
        <w:t>laws</w:t>
      </w:r>
      <w:r>
        <w:rPr>
          <w:spacing w:val="-4"/>
        </w:rPr>
        <w:t xml:space="preserve"> </w:t>
      </w:r>
      <w:r>
        <w:t>and</w:t>
      </w:r>
      <w:r>
        <w:rPr>
          <w:spacing w:val="-4"/>
        </w:rPr>
        <w:t xml:space="preserve"> </w:t>
      </w:r>
      <w:r>
        <w:t>the</w:t>
      </w:r>
      <w:r>
        <w:rPr>
          <w:spacing w:val="-4"/>
        </w:rPr>
        <w:t xml:space="preserve"> </w:t>
      </w:r>
      <w:r>
        <w:t>Payment</w:t>
      </w:r>
      <w:r>
        <w:rPr>
          <w:spacing w:val="-3"/>
        </w:rPr>
        <w:t xml:space="preserve"> </w:t>
      </w:r>
      <w:r>
        <w:t>Card</w:t>
      </w:r>
      <w:r>
        <w:rPr>
          <w:spacing w:val="-3"/>
        </w:rPr>
        <w:t xml:space="preserve"> </w:t>
      </w:r>
      <w:r>
        <w:t>Industry</w:t>
      </w:r>
      <w:r>
        <w:rPr>
          <w:spacing w:val="-3"/>
        </w:rPr>
        <w:t xml:space="preserve"> </w:t>
      </w:r>
      <w:r>
        <w:t>Data</w:t>
      </w:r>
      <w:r>
        <w:rPr>
          <w:spacing w:val="-3"/>
        </w:rPr>
        <w:t xml:space="preserve"> </w:t>
      </w:r>
      <w:r>
        <w:t>Security</w:t>
      </w:r>
      <w:r>
        <w:rPr>
          <w:spacing w:val="-3"/>
        </w:rPr>
        <w:t xml:space="preserve"> </w:t>
      </w:r>
      <w:r>
        <w:t>Standard</w:t>
      </w:r>
      <w:r>
        <w:rPr>
          <w:spacing w:val="-3"/>
        </w:rPr>
        <w:t xml:space="preserve"> </w:t>
      </w:r>
      <w:r>
        <w:t xml:space="preserve">(PCI- </w:t>
      </w:r>
      <w:r>
        <w:rPr>
          <w:spacing w:val="-2"/>
        </w:rPr>
        <w:t>DSS).</w:t>
      </w:r>
    </w:p>
    <w:p w14:paraId="11EFB361" w14:textId="77777777" w:rsidR="00D6345A" w:rsidRDefault="00D6345A">
      <w:pPr>
        <w:pStyle w:val="BodyText"/>
      </w:pPr>
    </w:p>
    <w:p w14:paraId="33C13C72" w14:textId="77777777" w:rsidR="00D6345A" w:rsidRDefault="004E075C">
      <w:pPr>
        <w:pStyle w:val="BodyText"/>
        <w:ind w:left="119"/>
      </w:pPr>
      <w:r>
        <w:t>For</w:t>
      </w:r>
      <w:r>
        <w:rPr>
          <w:spacing w:val="-2"/>
        </w:rPr>
        <w:t xml:space="preserve"> </w:t>
      </w:r>
      <w:r>
        <w:t>purposes</w:t>
      </w:r>
      <w:r>
        <w:rPr>
          <w:spacing w:val="-1"/>
        </w:rPr>
        <w:t xml:space="preserve"> </w:t>
      </w:r>
      <w:r>
        <w:t>of</w:t>
      </w:r>
      <w:r>
        <w:rPr>
          <w:spacing w:val="-1"/>
        </w:rPr>
        <w:t xml:space="preserve"> </w:t>
      </w:r>
      <w:r>
        <w:t>this</w:t>
      </w:r>
      <w:r>
        <w:rPr>
          <w:spacing w:val="-1"/>
        </w:rPr>
        <w:t xml:space="preserve"> </w:t>
      </w:r>
      <w:r>
        <w:t>Policy,</w:t>
      </w:r>
      <w:r>
        <w:rPr>
          <w:spacing w:val="-2"/>
        </w:rPr>
        <w:t xml:space="preserve"> </w:t>
      </w:r>
      <w:r>
        <w:t>Sensitive</w:t>
      </w:r>
      <w:r>
        <w:rPr>
          <w:spacing w:val="-1"/>
        </w:rPr>
        <w:t xml:space="preserve"> </w:t>
      </w:r>
      <w:r>
        <w:t>Data</w:t>
      </w:r>
      <w:r>
        <w:rPr>
          <w:spacing w:val="-1"/>
        </w:rPr>
        <w:t xml:space="preserve"> </w:t>
      </w:r>
      <w:r>
        <w:t>include,</w:t>
      </w:r>
      <w:r>
        <w:rPr>
          <w:spacing w:val="-1"/>
        </w:rPr>
        <w:t xml:space="preserve"> </w:t>
      </w:r>
      <w:r>
        <w:t>but</w:t>
      </w:r>
      <w:r>
        <w:rPr>
          <w:spacing w:val="-2"/>
        </w:rPr>
        <w:t xml:space="preserve"> </w:t>
      </w:r>
      <w:r>
        <w:t>are</w:t>
      </w:r>
      <w:r>
        <w:rPr>
          <w:spacing w:val="-1"/>
        </w:rPr>
        <w:t xml:space="preserve"> </w:t>
      </w:r>
      <w:r>
        <w:t>not</w:t>
      </w:r>
      <w:r>
        <w:rPr>
          <w:spacing w:val="-1"/>
        </w:rPr>
        <w:t xml:space="preserve"> </w:t>
      </w:r>
      <w:r>
        <w:t>limited</w:t>
      </w:r>
      <w:r>
        <w:rPr>
          <w:spacing w:val="-1"/>
        </w:rPr>
        <w:t xml:space="preserve"> </w:t>
      </w:r>
      <w:r>
        <w:rPr>
          <w:spacing w:val="-5"/>
        </w:rPr>
        <w:t>to:</w:t>
      </w:r>
    </w:p>
    <w:p w14:paraId="1738C1B3" w14:textId="77777777" w:rsidR="00D6345A" w:rsidRDefault="00D6345A">
      <w:pPr>
        <w:pStyle w:val="BodyText"/>
      </w:pPr>
    </w:p>
    <w:p w14:paraId="1AC99D63" w14:textId="496E96BB" w:rsidR="00D6345A" w:rsidRDefault="004E075C" w:rsidP="00AC058B">
      <w:pPr>
        <w:pStyle w:val="BodyText"/>
        <w:spacing w:before="76"/>
        <w:ind w:right="327"/>
      </w:pPr>
      <w:r>
        <w:rPr>
          <w:b/>
        </w:rPr>
        <w:t>Personally</w:t>
      </w:r>
      <w:r>
        <w:rPr>
          <w:b/>
          <w:spacing w:val="-5"/>
        </w:rPr>
        <w:t xml:space="preserve"> </w:t>
      </w:r>
      <w:r>
        <w:rPr>
          <w:b/>
        </w:rPr>
        <w:t>Identifiable</w:t>
      </w:r>
      <w:r>
        <w:rPr>
          <w:b/>
          <w:spacing w:val="-5"/>
        </w:rPr>
        <w:t xml:space="preserve"> </w:t>
      </w:r>
      <w:r>
        <w:rPr>
          <w:b/>
        </w:rPr>
        <w:t>Information</w:t>
      </w:r>
      <w:r>
        <w:rPr>
          <w:b/>
          <w:spacing w:val="-3"/>
        </w:rPr>
        <w:t xml:space="preserve"> </w:t>
      </w:r>
      <w:r>
        <w:rPr>
          <w:b/>
        </w:rPr>
        <w:t>or</w:t>
      </w:r>
      <w:r>
        <w:rPr>
          <w:b/>
          <w:spacing w:val="-3"/>
        </w:rPr>
        <w:t xml:space="preserve"> </w:t>
      </w:r>
      <w:r>
        <w:rPr>
          <w:b/>
        </w:rPr>
        <w:t>PII:</w:t>
      </w:r>
      <w:r>
        <w:rPr>
          <w:b/>
          <w:spacing w:val="-3"/>
        </w:rPr>
        <w:t xml:space="preserve"> </w:t>
      </w:r>
      <w:r>
        <w:t>any</w:t>
      </w:r>
      <w:r>
        <w:rPr>
          <w:spacing w:val="-3"/>
        </w:rPr>
        <w:t xml:space="preserve"> </w:t>
      </w:r>
      <w:r>
        <w:t>information</w:t>
      </w:r>
      <w:r>
        <w:rPr>
          <w:spacing w:val="-3"/>
        </w:rPr>
        <w:t xml:space="preserve"> </w:t>
      </w:r>
      <w:r>
        <w:t>about</w:t>
      </w:r>
      <w:r>
        <w:rPr>
          <w:spacing w:val="-3"/>
        </w:rPr>
        <w:t xml:space="preserve"> </w:t>
      </w:r>
      <w:r>
        <w:t>an</w:t>
      </w:r>
      <w:r>
        <w:rPr>
          <w:spacing w:val="-3"/>
        </w:rPr>
        <w:t xml:space="preserve"> </w:t>
      </w:r>
      <w:r>
        <w:t>individual</w:t>
      </w:r>
      <w:r>
        <w:rPr>
          <w:spacing w:val="-3"/>
        </w:rPr>
        <w:t xml:space="preserve"> </w:t>
      </w:r>
      <w:r>
        <w:t>that</w:t>
      </w:r>
      <w:r>
        <w:rPr>
          <w:spacing w:val="-3"/>
        </w:rPr>
        <w:t xml:space="preserve"> </w:t>
      </w:r>
      <w:r>
        <w:t>(a)</w:t>
      </w:r>
      <w:r>
        <w:rPr>
          <w:spacing w:val="-3"/>
        </w:rPr>
        <w:t xml:space="preserve"> </w:t>
      </w:r>
      <w:r>
        <w:t>can</w:t>
      </w:r>
      <w:r>
        <w:rPr>
          <w:spacing w:val="-3"/>
        </w:rPr>
        <w:t xml:space="preserve"> </w:t>
      </w:r>
      <w:r>
        <w:t xml:space="preserve">be used to distinguish or trace an individual’s identity, such as name, date and place of </w:t>
      </w:r>
      <w:proofErr w:type="gramStart"/>
      <w:r>
        <w:t>birth</w:t>
      </w:r>
      <w:r w:rsidR="00E738BA">
        <w:t>,</w:t>
      </w:r>
      <w:r w:rsidR="00D054A2">
        <w:t>.</w:t>
      </w:r>
      <w:proofErr w:type="gramEnd"/>
      <w:r w:rsidR="00D054A2">
        <w:t xml:space="preserve"> mother’s</w:t>
      </w:r>
      <w:r w:rsidR="00D054A2">
        <w:rPr>
          <w:spacing w:val="-3"/>
        </w:rPr>
        <w:t xml:space="preserve"> </w:t>
      </w:r>
      <w:r w:rsidR="00D054A2">
        <w:t>maiden</w:t>
      </w:r>
      <w:r w:rsidR="00D054A2">
        <w:rPr>
          <w:spacing w:val="-3"/>
        </w:rPr>
        <w:t xml:space="preserve"> </w:t>
      </w:r>
      <w:r w:rsidR="00D054A2">
        <w:t>name</w:t>
      </w:r>
      <w:r w:rsidR="00D054A2">
        <w:rPr>
          <w:spacing w:val="-3"/>
        </w:rPr>
        <w:t xml:space="preserve"> </w:t>
      </w:r>
      <w:r w:rsidR="00D054A2">
        <w:t>or</w:t>
      </w:r>
      <w:r w:rsidR="00D054A2">
        <w:rPr>
          <w:spacing w:val="-3"/>
        </w:rPr>
        <w:t xml:space="preserve"> </w:t>
      </w:r>
      <w:r w:rsidR="00D054A2">
        <w:t>biometric</w:t>
      </w:r>
      <w:r w:rsidR="00D054A2">
        <w:rPr>
          <w:spacing w:val="-3"/>
        </w:rPr>
        <w:t xml:space="preserve"> </w:t>
      </w:r>
      <w:r w:rsidR="00D054A2">
        <w:t>records,</w:t>
      </w:r>
      <w:r w:rsidR="00D054A2">
        <w:rPr>
          <w:spacing w:val="-3"/>
        </w:rPr>
        <w:t xml:space="preserve"> </w:t>
      </w:r>
      <w:r w:rsidR="00D054A2">
        <w:t>(b)</w:t>
      </w:r>
      <w:r w:rsidR="00D054A2">
        <w:rPr>
          <w:spacing w:val="-3"/>
        </w:rPr>
        <w:t xml:space="preserve"> </w:t>
      </w:r>
      <w:r w:rsidR="00D054A2">
        <w:t>is</w:t>
      </w:r>
      <w:r w:rsidR="00D054A2">
        <w:rPr>
          <w:spacing w:val="-2"/>
        </w:rPr>
        <w:t xml:space="preserve"> </w:t>
      </w:r>
      <w:r w:rsidR="00D054A2">
        <w:t>linked</w:t>
      </w:r>
      <w:r w:rsidR="00D054A2">
        <w:rPr>
          <w:spacing w:val="-2"/>
        </w:rPr>
        <w:t xml:space="preserve"> </w:t>
      </w:r>
      <w:r w:rsidR="00D054A2">
        <w:t>or</w:t>
      </w:r>
      <w:r w:rsidR="00D054A2">
        <w:rPr>
          <w:spacing w:val="-3"/>
        </w:rPr>
        <w:t xml:space="preserve"> </w:t>
      </w:r>
      <w:r w:rsidR="00D054A2">
        <w:t>linkable</w:t>
      </w:r>
      <w:r w:rsidR="00D054A2">
        <w:rPr>
          <w:spacing w:val="-2"/>
        </w:rPr>
        <w:t xml:space="preserve"> </w:t>
      </w:r>
      <w:r w:rsidR="00D054A2">
        <w:t>to</w:t>
      </w:r>
      <w:r w:rsidR="00D054A2">
        <w:rPr>
          <w:spacing w:val="-4"/>
        </w:rPr>
        <w:t xml:space="preserve"> </w:t>
      </w:r>
      <w:r w:rsidR="00D054A2">
        <w:t>an</w:t>
      </w:r>
      <w:r w:rsidR="00D054A2">
        <w:rPr>
          <w:spacing w:val="-3"/>
        </w:rPr>
        <w:t xml:space="preserve"> </w:t>
      </w:r>
      <w:r w:rsidR="00D054A2">
        <w:t>individual,</w:t>
      </w:r>
      <w:r w:rsidR="00D054A2">
        <w:rPr>
          <w:spacing w:val="-3"/>
        </w:rPr>
        <w:t xml:space="preserve"> </w:t>
      </w:r>
      <w:r w:rsidR="00D054A2">
        <w:t>such</w:t>
      </w:r>
      <w:r w:rsidR="00D054A2">
        <w:rPr>
          <w:spacing w:val="-3"/>
        </w:rPr>
        <w:t xml:space="preserve"> </w:t>
      </w:r>
      <w:r w:rsidR="00D054A2">
        <w:t xml:space="preserve">as medical, educational, financial and employment information, which if lost, </w:t>
      </w:r>
      <w:proofErr w:type="gramStart"/>
      <w:r w:rsidR="00D054A2">
        <w:t>compromised</w:t>
      </w:r>
      <w:proofErr w:type="gramEnd"/>
      <w:r w:rsidR="00D054A2">
        <w:t xml:space="preserve"> or disclosed without authorization could result in harm</w:t>
      </w:r>
      <w:r w:rsidR="00D054A2">
        <w:rPr>
          <w:spacing w:val="-1"/>
        </w:rPr>
        <w:t xml:space="preserve"> </w:t>
      </w:r>
      <w:r w:rsidR="00D054A2">
        <w:t>to that individual and (c) is protected by federal, state or local laws and regulations or industry standards.</w:t>
      </w:r>
    </w:p>
    <w:p w14:paraId="43A78F72" w14:textId="77777777" w:rsidR="00D6345A" w:rsidRDefault="00D6345A">
      <w:pPr>
        <w:pStyle w:val="BodyText"/>
      </w:pPr>
    </w:p>
    <w:p w14:paraId="0E36CFE6" w14:textId="7EE83A97" w:rsidR="00D6345A" w:rsidRDefault="004E075C">
      <w:pPr>
        <w:pStyle w:val="BodyText"/>
        <w:spacing w:before="1"/>
        <w:ind w:left="120" w:right="127"/>
      </w:pPr>
      <w:r>
        <w:rPr>
          <w:b/>
        </w:rPr>
        <w:t>Protected</w:t>
      </w:r>
      <w:r>
        <w:rPr>
          <w:b/>
          <w:spacing w:val="-5"/>
        </w:rPr>
        <w:t xml:space="preserve"> </w:t>
      </w:r>
      <w:r>
        <w:rPr>
          <w:b/>
        </w:rPr>
        <w:t>Health</w:t>
      </w:r>
      <w:r>
        <w:rPr>
          <w:b/>
          <w:spacing w:val="-5"/>
        </w:rPr>
        <w:t xml:space="preserve"> </w:t>
      </w:r>
      <w:r>
        <w:rPr>
          <w:b/>
        </w:rPr>
        <w:t>Information</w:t>
      </w:r>
      <w:r>
        <w:rPr>
          <w:b/>
          <w:spacing w:val="-5"/>
        </w:rPr>
        <w:t xml:space="preserve"> </w:t>
      </w:r>
      <w:r>
        <w:rPr>
          <w:b/>
        </w:rPr>
        <w:t>or</w:t>
      </w:r>
      <w:r>
        <w:rPr>
          <w:b/>
          <w:spacing w:val="-5"/>
        </w:rPr>
        <w:t xml:space="preserve"> </w:t>
      </w:r>
      <w:r>
        <w:rPr>
          <w:b/>
        </w:rPr>
        <w:t>PHI:</w:t>
      </w:r>
      <w:r>
        <w:rPr>
          <w:b/>
          <w:spacing w:val="-3"/>
        </w:rPr>
        <w:t xml:space="preserve"> </w:t>
      </w:r>
      <w:r>
        <w:t>Individually</w:t>
      </w:r>
      <w:r>
        <w:rPr>
          <w:spacing w:val="-5"/>
        </w:rPr>
        <w:t xml:space="preserve"> </w:t>
      </w:r>
      <w:r>
        <w:t>Identifiable</w:t>
      </w:r>
      <w:r>
        <w:rPr>
          <w:spacing w:val="-5"/>
        </w:rPr>
        <w:t xml:space="preserve"> </w:t>
      </w:r>
      <w:r>
        <w:t>Health</w:t>
      </w:r>
      <w:r>
        <w:rPr>
          <w:spacing w:val="-3"/>
        </w:rPr>
        <w:t xml:space="preserve"> </w:t>
      </w:r>
      <w:r>
        <w:t>Information</w:t>
      </w:r>
      <w:r>
        <w:rPr>
          <w:spacing w:val="-5"/>
        </w:rPr>
        <w:t xml:space="preserve"> </w:t>
      </w:r>
      <w:r>
        <w:t>that is transmitted or maintained by the Columbia Health Care Component</w:t>
      </w:r>
      <w:r w:rsidR="00BB5A01">
        <w:t xml:space="preserve"> </w:t>
      </w:r>
      <w:r>
        <w:t>in electronic or any other form or medium, except (1) as provided in the definition of Protected Health Information in the HIPAA Privacy Rule (45 CFR 160.103) and (2) Research Health Information.</w:t>
      </w:r>
    </w:p>
    <w:p w14:paraId="67D268F8" w14:textId="77777777" w:rsidR="00D6345A" w:rsidRDefault="00D6345A">
      <w:pPr>
        <w:pStyle w:val="BodyText"/>
      </w:pPr>
    </w:p>
    <w:p w14:paraId="0E11D7B3" w14:textId="2E1CB3BC" w:rsidR="00D6345A" w:rsidRDefault="004E075C">
      <w:pPr>
        <w:pStyle w:val="BodyText"/>
        <w:ind w:left="120" w:right="179"/>
      </w:pPr>
      <w:r>
        <w:rPr>
          <w:b/>
        </w:rPr>
        <w:t>Research</w:t>
      </w:r>
      <w:r>
        <w:rPr>
          <w:b/>
          <w:spacing w:val="-4"/>
        </w:rPr>
        <w:t xml:space="preserve"> </w:t>
      </w:r>
      <w:r>
        <w:rPr>
          <w:b/>
        </w:rPr>
        <w:t>Health</w:t>
      </w:r>
      <w:r>
        <w:rPr>
          <w:b/>
          <w:spacing w:val="-4"/>
        </w:rPr>
        <w:t xml:space="preserve"> </w:t>
      </w:r>
      <w:r>
        <w:rPr>
          <w:b/>
        </w:rPr>
        <w:t>Information</w:t>
      </w:r>
      <w:r>
        <w:rPr>
          <w:b/>
          <w:spacing w:val="-4"/>
        </w:rPr>
        <w:t xml:space="preserve"> </w:t>
      </w:r>
      <w:r>
        <w:rPr>
          <w:b/>
        </w:rPr>
        <w:t>or</w:t>
      </w:r>
      <w:r>
        <w:rPr>
          <w:b/>
          <w:spacing w:val="-4"/>
        </w:rPr>
        <w:t xml:space="preserve"> </w:t>
      </w:r>
      <w:r>
        <w:rPr>
          <w:b/>
        </w:rPr>
        <w:t>RHI:</w:t>
      </w:r>
      <w:r>
        <w:rPr>
          <w:b/>
          <w:spacing w:val="40"/>
        </w:rPr>
        <w:t xml:space="preserve"> </w:t>
      </w:r>
      <w:r>
        <w:t>Individually</w:t>
      </w:r>
      <w:r>
        <w:rPr>
          <w:spacing w:val="-4"/>
        </w:rPr>
        <w:t xml:space="preserve"> </w:t>
      </w:r>
      <w:r>
        <w:t>Identifiable</w:t>
      </w:r>
      <w:r>
        <w:rPr>
          <w:spacing w:val="-4"/>
        </w:rPr>
        <w:t xml:space="preserve"> </w:t>
      </w:r>
      <w:r>
        <w:t>Health</w:t>
      </w:r>
      <w:r>
        <w:rPr>
          <w:spacing w:val="-2"/>
        </w:rPr>
        <w:t xml:space="preserve"> </w:t>
      </w:r>
      <w:r>
        <w:t>Information</w:t>
      </w:r>
      <w:r>
        <w:rPr>
          <w:spacing w:val="-4"/>
        </w:rPr>
        <w:t xml:space="preserve"> </w:t>
      </w:r>
      <w:r>
        <w:t>that</w:t>
      </w:r>
      <w:r>
        <w:rPr>
          <w:spacing w:val="-4"/>
        </w:rPr>
        <w:t xml:space="preserve"> </w:t>
      </w:r>
      <w:r>
        <w:t>(1)</w:t>
      </w:r>
      <w:r>
        <w:rPr>
          <w:spacing w:val="-4"/>
        </w:rPr>
        <w:t xml:space="preserve"> </w:t>
      </w:r>
      <w:r>
        <w:t>is created or received in connection with research that does not involve a Covered Transaction or (2) although previously considered Protected Health Information, has been received in connection with research pursuant to a valid HIPAA Authorization or IRB waiver of HIPAA Authorization.</w:t>
      </w:r>
    </w:p>
    <w:p w14:paraId="53A31F1A" w14:textId="77777777" w:rsidR="00D6345A" w:rsidRDefault="00D6345A">
      <w:pPr>
        <w:pStyle w:val="BodyText"/>
        <w:spacing w:before="2"/>
      </w:pPr>
    </w:p>
    <w:p w14:paraId="33ED0AD4" w14:textId="44DEA9A9" w:rsidR="00D6345A" w:rsidRDefault="00BB5A01">
      <w:pPr>
        <w:pStyle w:val="Heading1"/>
        <w:numPr>
          <w:ilvl w:val="0"/>
          <w:numId w:val="1"/>
        </w:numPr>
        <w:tabs>
          <w:tab w:val="left" w:pos="660"/>
          <w:tab w:val="left" w:pos="661"/>
        </w:tabs>
        <w:ind w:left="660" w:hanging="542"/>
      </w:pPr>
      <w:r>
        <w:rPr>
          <w:spacing w:val="-2"/>
        </w:rPr>
        <w:t>General</w:t>
      </w:r>
    </w:p>
    <w:p w14:paraId="27C52D73" w14:textId="77777777" w:rsidR="00D6345A" w:rsidRDefault="00D6345A">
      <w:pPr>
        <w:pStyle w:val="BodyText"/>
        <w:spacing w:before="9"/>
        <w:rPr>
          <w:b/>
          <w:sz w:val="23"/>
        </w:rPr>
      </w:pPr>
    </w:p>
    <w:p w14:paraId="526D64BA" w14:textId="77777777" w:rsidR="00D6345A" w:rsidRDefault="004E075C">
      <w:pPr>
        <w:pStyle w:val="BodyText"/>
        <w:ind w:left="119" w:right="146"/>
      </w:pPr>
      <w:r>
        <w:t>All IRB protocols must have a data security plan that specifies whether Sensitive Data will be obtained</w:t>
      </w:r>
      <w:r>
        <w:rPr>
          <w:spacing w:val="-2"/>
        </w:rPr>
        <w:t xml:space="preserve"> </w:t>
      </w:r>
      <w:r>
        <w:t>or</w:t>
      </w:r>
      <w:r>
        <w:rPr>
          <w:spacing w:val="-2"/>
        </w:rPr>
        <w:t xml:space="preserve"> </w:t>
      </w:r>
      <w:r>
        <w:t>created</w:t>
      </w:r>
      <w:r>
        <w:rPr>
          <w:spacing w:val="-2"/>
        </w:rPr>
        <w:t xml:space="preserve"> </w:t>
      </w:r>
      <w:r>
        <w:t>and</w:t>
      </w:r>
      <w:r>
        <w:rPr>
          <w:spacing w:val="-2"/>
        </w:rPr>
        <w:t xml:space="preserve"> </w:t>
      </w:r>
      <w:r>
        <w:t>if</w:t>
      </w:r>
      <w:r>
        <w:rPr>
          <w:spacing w:val="-3"/>
        </w:rPr>
        <w:t xml:space="preserve"> </w:t>
      </w:r>
      <w:r>
        <w:t>so,</w:t>
      </w:r>
      <w:r>
        <w:rPr>
          <w:spacing w:val="-2"/>
        </w:rPr>
        <w:t xml:space="preserve"> </w:t>
      </w:r>
      <w:r>
        <w:t>how</w:t>
      </w:r>
      <w:r>
        <w:rPr>
          <w:spacing w:val="-2"/>
        </w:rPr>
        <w:t xml:space="preserve"> </w:t>
      </w:r>
      <w:r>
        <w:t>it</w:t>
      </w:r>
      <w:r>
        <w:rPr>
          <w:spacing w:val="-2"/>
        </w:rPr>
        <w:t xml:space="preserve"> </w:t>
      </w:r>
      <w:r>
        <w:t>will</w:t>
      </w:r>
      <w:r>
        <w:rPr>
          <w:spacing w:val="-2"/>
        </w:rPr>
        <w:t xml:space="preserve"> </w:t>
      </w:r>
      <w:r>
        <w:t>be</w:t>
      </w:r>
      <w:r>
        <w:rPr>
          <w:spacing w:val="-2"/>
        </w:rPr>
        <w:t xml:space="preserve"> </w:t>
      </w:r>
      <w:r>
        <w:t>stored</w:t>
      </w:r>
      <w:r>
        <w:rPr>
          <w:spacing w:val="-3"/>
        </w:rPr>
        <w:t xml:space="preserve"> </w:t>
      </w:r>
      <w:r>
        <w:t>and</w:t>
      </w:r>
      <w:r>
        <w:rPr>
          <w:spacing w:val="-2"/>
        </w:rPr>
        <w:t xml:space="preserve"> </w:t>
      </w:r>
      <w:r>
        <w:t>transmitted.</w:t>
      </w:r>
      <w:r>
        <w:rPr>
          <w:spacing w:val="-2"/>
        </w:rPr>
        <w:t xml:space="preserve"> </w:t>
      </w:r>
      <w:r>
        <w:t>Any</w:t>
      </w:r>
      <w:r>
        <w:rPr>
          <w:spacing w:val="-2"/>
        </w:rPr>
        <w:t xml:space="preserve"> </w:t>
      </w:r>
      <w:r>
        <w:t>modification</w:t>
      </w:r>
      <w:r>
        <w:rPr>
          <w:spacing w:val="-4"/>
        </w:rPr>
        <w:t xml:space="preserve"> </w:t>
      </w:r>
      <w:r>
        <w:t>to</w:t>
      </w:r>
      <w:r>
        <w:rPr>
          <w:spacing w:val="-2"/>
        </w:rPr>
        <w:t xml:space="preserve"> </w:t>
      </w:r>
      <w:r>
        <w:t>the</w:t>
      </w:r>
      <w:r>
        <w:rPr>
          <w:spacing w:val="-2"/>
        </w:rPr>
        <w:t xml:space="preserve"> </w:t>
      </w:r>
      <w:r>
        <w:t xml:space="preserve">data security plan must be approved by the IRB. Protocol renewals must identify any changes in a data security </w:t>
      </w:r>
      <w:proofErr w:type="gramStart"/>
      <w:r>
        <w:t>plan</w:t>
      </w:r>
      <w:proofErr w:type="gramEnd"/>
      <w:r>
        <w:t xml:space="preserve"> and, at the time of renewal, the IRB will require that the plan be updated to meet new requirements. The data security plan must be acceptable to the IRB for a protocol or protocol renewal to be approved by the IRB.</w:t>
      </w:r>
    </w:p>
    <w:p w14:paraId="49BE0624" w14:textId="77777777" w:rsidR="00D6345A" w:rsidRDefault="00D6345A">
      <w:pPr>
        <w:pStyle w:val="BodyText"/>
        <w:spacing w:before="11"/>
        <w:rPr>
          <w:sz w:val="23"/>
        </w:rPr>
      </w:pPr>
    </w:p>
    <w:p w14:paraId="19FE735D" w14:textId="652979FA" w:rsidR="00D6345A" w:rsidRDefault="004E075C">
      <w:pPr>
        <w:pStyle w:val="BodyText"/>
        <w:ind w:left="119" w:right="96"/>
      </w:pPr>
      <w:r>
        <w:t>It</w:t>
      </w:r>
      <w:r>
        <w:rPr>
          <w:spacing w:val="-4"/>
        </w:rPr>
        <w:t xml:space="preserve"> </w:t>
      </w:r>
      <w:r>
        <w:t>is</w:t>
      </w:r>
      <w:r>
        <w:rPr>
          <w:spacing w:val="-3"/>
        </w:rPr>
        <w:t xml:space="preserve"> </w:t>
      </w:r>
      <w:r>
        <w:t>the</w:t>
      </w:r>
      <w:r>
        <w:rPr>
          <w:spacing w:val="-3"/>
        </w:rPr>
        <w:t xml:space="preserve"> </w:t>
      </w:r>
      <w:r>
        <w:t>responsibility</w:t>
      </w:r>
      <w:r>
        <w:rPr>
          <w:spacing w:val="-3"/>
        </w:rPr>
        <w:t xml:space="preserve"> </w:t>
      </w:r>
      <w:r>
        <w:t>of</w:t>
      </w:r>
      <w:r>
        <w:rPr>
          <w:spacing w:val="-4"/>
        </w:rPr>
        <w:t xml:space="preserve"> </w:t>
      </w:r>
      <w:r>
        <w:t>the</w:t>
      </w:r>
      <w:r>
        <w:rPr>
          <w:spacing w:val="-3"/>
        </w:rPr>
        <w:t xml:space="preserve"> </w:t>
      </w:r>
      <w:r>
        <w:t>Principal</w:t>
      </w:r>
      <w:r>
        <w:rPr>
          <w:spacing w:val="-3"/>
        </w:rPr>
        <w:t xml:space="preserve"> </w:t>
      </w:r>
      <w:r>
        <w:t>Investigator</w:t>
      </w:r>
      <w:r>
        <w:rPr>
          <w:spacing w:val="-3"/>
        </w:rPr>
        <w:t xml:space="preserve"> </w:t>
      </w:r>
      <w:r>
        <w:rPr>
          <w:b/>
        </w:rPr>
        <w:t>(PI)</w:t>
      </w:r>
      <w:r>
        <w:rPr>
          <w:b/>
          <w:spacing w:val="-2"/>
        </w:rPr>
        <w:t xml:space="preserve"> </w:t>
      </w:r>
      <w:r>
        <w:t>of</w:t>
      </w:r>
      <w:r>
        <w:rPr>
          <w:spacing w:val="-2"/>
        </w:rPr>
        <w:t xml:space="preserve"> </w:t>
      </w:r>
      <w:r>
        <w:t>any</w:t>
      </w:r>
      <w:r>
        <w:rPr>
          <w:spacing w:val="-2"/>
        </w:rPr>
        <w:t xml:space="preserve"> </w:t>
      </w:r>
      <w:r>
        <w:t>research</w:t>
      </w:r>
      <w:r>
        <w:rPr>
          <w:spacing w:val="-2"/>
        </w:rPr>
        <w:t xml:space="preserve"> </w:t>
      </w:r>
      <w:r>
        <w:t>study</w:t>
      </w:r>
      <w:r>
        <w:rPr>
          <w:spacing w:val="-2"/>
        </w:rPr>
        <w:t xml:space="preserve"> </w:t>
      </w:r>
      <w:r>
        <w:t>involving</w:t>
      </w:r>
      <w:r>
        <w:rPr>
          <w:spacing w:val="-4"/>
        </w:rPr>
        <w:t xml:space="preserve"> </w:t>
      </w:r>
      <w:r>
        <w:t>Sensitive Data to comply with all applicable University policies and guidelines, including all Information Security Policies</w:t>
      </w:r>
      <w:r w:rsidR="008A5982">
        <w:t xml:space="preserve">. </w:t>
      </w:r>
    </w:p>
    <w:p w14:paraId="519C79EC" w14:textId="77777777" w:rsidR="00D6345A" w:rsidRDefault="00D6345A">
      <w:pPr>
        <w:pStyle w:val="BodyText"/>
      </w:pPr>
    </w:p>
    <w:p w14:paraId="7AFE22FB" w14:textId="03395F4A" w:rsidR="00D6345A" w:rsidRDefault="004E075C">
      <w:pPr>
        <w:pStyle w:val="BodyText"/>
        <w:ind w:left="119" w:right="179"/>
      </w:pPr>
      <w:r>
        <w:t xml:space="preserve">A code may be used to replace identifiable data in a dataset that would otherwise </w:t>
      </w:r>
      <w:proofErr w:type="gramStart"/>
      <w:r>
        <w:t>be considered to be</w:t>
      </w:r>
      <w:proofErr w:type="gramEnd"/>
      <w:r>
        <w:t xml:space="preserve"> Sensitive Data so long as the code is not derived from any information relating to the individual.</w:t>
      </w:r>
      <w:r>
        <w:rPr>
          <w:spacing w:val="-2"/>
        </w:rPr>
        <w:t xml:space="preserve"> </w:t>
      </w:r>
      <w:r>
        <w:t>Such</w:t>
      </w:r>
      <w:r>
        <w:rPr>
          <w:spacing w:val="-2"/>
        </w:rPr>
        <w:t xml:space="preserve"> </w:t>
      </w:r>
      <w:r>
        <w:t>data</w:t>
      </w:r>
      <w:r>
        <w:rPr>
          <w:spacing w:val="-2"/>
        </w:rPr>
        <w:t xml:space="preserve"> </w:t>
      </w:r>
      <w:r>
        <w:t>that</w:t>
      </w:r>
      <w:r>
        <w:rPr>
          <w:spacing w:val="-2"/>
        </w:rPr>
        <w:t xml:space="preserve"> </w:t>
      </w:r>
      <w:r>
        <w:t>are</w:t>
      </w:r>
      <w:r>
        <w:rPr>
          <w:spacing w:val="-2"/>
        </w:rPr>
        <w:t xml:space="preserve"> </w:t>
      </w:r>
      <w:r>
        <w:t>properly</w:t>
      </w:r>
      <w:r>
        <w:rPr>
          <w:spacing w:val="-1"/>
        </w:rPr>
        <w:t xml:space="preserve"> </w:t>
      </w:r>
      <w:r>
        <w:t>coded</w:t>
      </w:r>
      <w:r>
        <w:rPr>
          <w:spacing w:val="-1"/>
        </w:rPr>
        <w:t xml:space="preserve"> </w:t>
      </w:r>
      <w:r>
        <w:t>and</w:t>
      </w:r>
      <w:r>
        <w:rPr>
          <w:spacing w:val="-1"/>
        </w:rPr>
        <w:t xml:space="preserve"> </w:t>
      </w:r>
      <w:r>
        <w:t>stored</w:t>
      </w:r>
      <w:r>
        <w:rPr>
          <w:spacing w:val="-1"/>
        </w:rPr>
        <w:t xml:space="preserve"> </w:t>
      </w:r>
      <w:r>
        <w:t>separately</w:t>
      </w:r>
      <w:r>
        <w:rPr>
          <w:spacing w:val="-2"/>
        </w:rPr>
        <w:t xml:space="preserve"> </w:t>
      </w:r>
      <w:r>
        <w:t>from</w:t>
      </w:r>
      <w:r>
        <w:rPr>
          <w:spacing w:val="-4"/>
        </w:rPr>
        <w:t xml:space="preserve"> </w:t>
      </w:r>
      <w:r>
        <w:t>the</w:t>
      </w:r>
      <w:r>
        <w:rPr>
          <w:spacing w:val="-2"/>
        </w:rPr>
        <w:t xml:space="preserve"> </w:t>
      </w:r>
      <w:r>
        <w:t>key</w:t>
      </w:r>
      <w:r>
        <w:rPr>
          <w:spacing w:val="-2"/>
        </w:rPr>
        <w:t xml:space="preserve"> </w:t>
      </w:r>
      <w:r>
        <w:t>to</w:t>
      </w:r>
      <w:r>
        <w:rPr>
          <w:spacing w:val="-2"/>
        </w:rPr>
        <w:t xml:space="preserve"> </w:t>
      </w:r>
      <w:r>
        <w:t>the</w:t>
      </w:r>
      <w:r>
        <w:rPr>
          <w:spacing w:val="-2"/>
        </w:rPr>
        <w:t xml:space="preserve"> </w:t>
      </w:r>
      <w:r>
        <w:t>code</w:t>
      </w:r>
      <w:r>
        <w:rPr>
          <w:spacing w:val="-2"/>
        </w:rPr>
        <w:t xml:space="preserve"> </w:t>
      </w:r>
      <w:r>
        <w:t>may be</w:t>
      </w:r>
      <w:r>
        <w:rPr>
          <w:spacing w:val="-3"/>
        </w:rPr>
        <w:t xml:space="preserve"> </w:t>
      </w:r>
      <w:r>
        <w:t>stored</w:t>
      </w:r>
      <w:r>
        <w:rPr>
          <w:spacing w:val="-3"/>
        </w:rPr>
        <w:t xml:space="preserve"> </w:t>
      </w:r>
      <w:r>
        <w:t>or</w:t>
      </w:r>
      <w:r>
        <w:rPr>
          <w:spacing w:val="-2"/>
        </w:rPr>
        <w:t xml:space="preserve"> </w:t>
      </w:r>
      <w:r>
        <w:t>transmitted</w:t>
      </w:r>
      <w:r>
        <w:rPr>
          <w:spacing w:val="-3"/>
        </w:rPr>
        <w:t xml:space="preserve"> </w:t>
      </w:r>
      <w:r>
        <w:t>as</w:t>
      </w:r>
      <w:r>
        <w:rPr>
          <w:spacing w:val="-3"/>
        </w:rPr>
        <w:t xml:space="preserve"> </w:t>
      </w:r>
      <w:r>
        <w:t>de-identified</w:t>
      </w:r>
      <w:r>
        <w:rPr>
          <w:spacing w:val="-3"/>
        </w:rPr>
        <w:t xml:space="preserve"> </w:t>
      </w:r>
      <w:r>
        <w:t>data</w:t>
      </w:r>
      <w:r>
        <w:rPr>
          <w:spacing w:val="-3"/>
        </w:rPr>
        <w:t xml:space="preserve"> </w:t>
      </w:r>
      <w:r>
        <w:t>and</w:t>
      </w:r>
      <w:r>
        <w:rPr>
          <w:spacing w:val="-3"/>
        </w:rPr>
        <w:t xml:space="preserve"> </w:t>
      </w:r>
      <w:r>
        <w:t>would</w:t>
      </w:r>
      <w:r>
        <w:rPr>
          <w:spacing w:val="-2"/>
        </w:rPr>
        <w:t xml:space="preserve"> </w:t>
      </w:r>
      <w:r>
        <w:t>not</w:t>
      </w:r>
      <w:r>
        <w:rPr>
          <w:spacing w:val="-2"/>
        </w:rPr>
        <w:t xml:space="preserve"> </w:t>
      </w:r>
      <w:proofErr w:type="gramStart"/>
      <w:r>
        <w:t>be</w:t>
      </w:r>
      <w:r>
        <w:rPr>
          <w:spacing w:val="-2"/>
        </w:rPr>
        <w:t xml:space="preserve"> </w:t>
      </w:r>
      <w:r>
        <w:t>considered</w:t>
      </w:r>
      <w:r>
        <w:rPr>
          <w:spacing w:val="-4"/>
        </w:rPr>
        <w:t xml:space="preserve"> </w:t>
      </w:r>
      <w:r>
        <w:t>to</w:t>
      </w:r>
      <w:r>
        <w:rPr>
          <w:spacing w:val="-2"/>
        </w:rPr>
        <w:t xml:space="preserve"> </w:t>
      </w:r>
      <w:r>
        <w:t>be</w:t>
      </w:r>
      <w:proofErr w:type="gramEnd"/>
      <w:r>
        <w:rPr>
          <w:spacing w:val="-2"/>
        </w:rPr>
        <w:t xml:space="preserve"> </w:t>
      </w:r>
      <w:r>
        <w:t>PII,</w:t>
      </w:r>
      <w:r>
        <w:rPr>
          <w:spacing w:val="-2"/>
        </w:rPr>
        <w:t xml:space="preserve"> </w:t>
      </w:r>
      <w:r>
        <w:t>PHI</w:t>
      </w:r>
      <w:r>
        <w:rPr>
          <w:spacing w:val="-3"/>
        </w:rPr>
        <w:t xml:space="preserve"> </w:t>
      </w:r>
      <w:r>
        <w:t>or</w:t>
      </w:r>
      <w:r>
        <w:rPr>
          <w:spacing w:val="-3"/>
        </w:rPr>
        <w:t xml:space="preserve"> </w:t>
      </w:r>
      <w:r>
        <w:t xml:space="preserve">RHI. However, if a PI or his/her research team </w:t>
      </w:r>
      <w:proofErr w:type="gramStart"/>
      <w:r>
        <w:t>has the ability to</w:t>
      </w:r>
      <w:proofErr w:type="gramEnd"/>
      <w:r>
        <w:t xml:space="preserve"> link the coded data to identifiable information, the coded data would be considered to be Sensitive Data and must be stored and transmitted as such in accordance with the Information Security Policies.</w:t>
      </w:r>
    </w:p>
    <w:p w14:paraId="0290E5A2" w14:textId="77777777" w:rsidR="00D6345A" w:rsidRDefault="00D6345A">
      <w:pPr>
        <w:pStyle w:val="BodyText"/>
        <w:spacing w:before="2"/>
      </w:pPr>
    </w:p>
    <w:p w14:paraId="0BC62171" w14:textId="77777777" w:rsidR="00D6345A" w:rsidRDefault="004E075C" w:rsidP="00AC058B">
      <w:pPr>
        <w:pStyle w:val="Heading1"/>
        <w:numPr>
          <w:ilvl w:val="0"/>
          <w:numId w:val="1"/>
        </w:numPr>
        <w:tabs>
          <w:tab w:val="left" w:pos="660"/>
          <w:tab w:val="left" w:pos="661"/>
        </w:tabs>
        <w:spacing w:before="1"/>
      </w:pPr>
      <w:r>
        <w:t xml:space="preserve">Data </w:t>
      </w:r>
      <w:r>
        <w:rPr>
          <w:spacing w:val="-2"/>
        </w:rPr>
        <w:t>Storage</w:t>
      </w:r>
    </w:p>
    <w:p w14:paraId="4AFD9843" w14:textId="77777777" w:rsidR="00D6345A" w:rsidRDefault="00D6345A">
      <w:pPr>
        <w:sectPr w:rsidR="00D6345A" w:rsidSect="004523D0">
          <w:footerReference w:type="default" r:id="rId10"/>
          <w:pgSz w:w="12240" w:h="15840"/>
          <w:pgMar w:top="1360" w:right="1340" w:bottom="1260" w:left="1320" w:header="0" w:footer="720" w:gutter="0"/>
          <w:cols w:space="720"/>
          <w:docGrid w:linePitch="299"/>
        </w:sectPr>
      </w:pPr>
    </w:p>
    <w:p w14:paraId="7DC71340" w14:textId="77777777" w:rsidR="00D6345A" w:rsidRDefault="004E075C">
      <w:pPr>
        <w:pStyle w:val="BodyText"/>
        <w:spacing w:before="76"/>
        <w:ind w:left="120" w:right="327"/>
      </w:pPr>
      <w:r>
        <w:lastRenderedPageBreak/>
        <w:t>The</w:t>
      </w:r>
      <w:r>
        <w:rPr>
          <w:spacing w:val="-3"/>
        </w:rPr>
        <w:t xml:space="preserve"> </w:t>
      </w:r>
      <w:r>
        <w:t>following</w:t>
      </w:r>
      <w:r>
        <w:rPr>
          <w:spacing w:val="-3"/>
        </w:rPr>
        <w:t xml:space="preserve"> </w:t>
      </w:r>
      <w:r>
        <w:t>methods</w:t>
      </w:r>
      <w:r>
        <w:rPr>
          <w:spacing w:val="-3"/>
        </w:rPr>
        <w:t xml:space="preserve"> </w:t>
      </w:r>
      <w:r>
        <w:t>of</w:t>
      </w:r>
      <w:r>
        <w:rPr>
          <w:spacing w:val="-3"/>
        </w:rPr>
        <w:t xml:space="preserve"> </w:t>
      </w:r>
      <w:r>
        <w:t>storing</w:t>
      </w:r>
      <w:r>
        <w:rPr>
          <w:spacing w:val="-3"/>
        </w:rPr>
        <w:t xml:space="preserve"> </w:t>
      </w:r>
      <w:r>
        <w:t>electronic</w:t>
      </w:r>
      <w:r>
        <w:rPr>
          <w:spacing w:val="-3"/>
        </w:rPr>
        <w:t xml:space="preserve"> </w:t>
      </w:r>
      <w:r>
        <w:t>research</w:t>
      </w:r>
      <w:r>
        <w:rPr>
          <w:spacing w:val="-3"/>
        </w:rPr>
        <w:t xml:space="preserve"> </w:t>
      </w:r>
      <w:r>
        <w:t>data</w:t>
      </w:r>
      <w:r>
        <w:rPr>
          <w:spacing w:val="-3"/>
        </w:rPr>
        <w:t xml:space="preserve"> </w:t>
      </w:r>
      <w:r>
        <w:t>containing</w:t>
      </w:r>
      <w:r>
        <w:rPr>
          <w:spacing w:val="-3"/>
        </w:rPr>
        <w:t xml:space="preserve"> </w:t>
      </w:r>
      <w:r>
        <w:t>Sensitive</w:t>
      </w:r>
      <w:r>
        <w:rPr>
          <w:spacing w:val="-3"/>
        </w:rPr>
        <w:t xml:space="preserve"> </w:t>
      </w:r>
      <w:r>
        <w:t>Data</w:t>
      </w:r>
      <w:r>
        <w:rPr>
          <w:spacing w:val="-3"/>
        </w:rPr>
        <w:t xml:space="preserve"> </w:t>
      </w:r>
      <w:r>
        <w:t>will</w:t>
      </w:r>
      <w:r>
        <w:rPr>
          <w:spacing w:val="-3"/>
        </w:rPr>
        <w:t xml:space="preserve"> </w:t>
      </w:r>
      <w:r>
        <w:t>be acceptable to the IRB:</w:t>
      </w:r>
    </w:p>
    <w:p w14:paraId="593A75C2" w14:textId="77777777" w:rsidR="00D6345A" w:rsidRDefault="00D6345A">
      <w:pPr>
        <w:pStyle w:val="BodyText"/>
        <w:spacing w:before="3"/>
      </w:pPr>
    </w:p>
    <w:p w14:paraId="32C488E4" w14:textId="77777777" w:rsidR="00D6345A" w:rsidRDefault="004E075C" w:rsidP="00AC058B">
      <w:pPr>
        <w:pStyle w:val="Heading1"/>
        <w:numPr>
          <w:ilvl w:val="1"/>
          <w:numId w:val="1"/>
        </w:numPr>
        <w:tabs>
          <w:tab w:val="left" w:pos="840"/>
        </w:tabs>
      </w:pPr>
      <w:r>
        <w:t>Server</w:t>
      </w:r>
      <w:r>
        <w:rPr>
          <w:spacing w:val="-4"/>
        </w:rPr>
        <w:t xml:space="preserve"> </w:t>
      </w:r>
      <w:r>
        <w:t>Based</w:t>
      </w:r>
      <w:r>
        <w:rPr>
          <w:spacing w:val="-3"/>
        </w:rPr>
        <w:t xml:space="preserve"> </w:t>
      </w:r>
      <w:r>
        <w:rPr>
          <w:spacing w:val="-2"/>
        </w:rPr>
        <w:t>Systems</w:t>
      </w:r>
    </w:p>
    <w:p w14:paraId="38C45E82" w14:textId="77777777" w:rsidR="00D6345A" w:rsidRDefault="00D6345A">
      <w:pPr>
        <w:pStyle w:val="BodyText"/>
        <w:spacing w:before="9"/>
        <w:rPr>
          <w:b/>
          <w:sz w:val="23"/>
        </w:rPr>
      </w:pPr>
    </w:p>
    <w:p w14:paraId="606A663C" w14:textId="7A0A5DE3" w:rsidR="00D6345A" w:rsidRDefault="004E075C">
      <w:pPr>
        <w:pStyle w:val="BodyText"/>
        <w:ind w:left="120" w:right="179"/>
      </w:pPr>
      <w:r>
        <w:t xml:space="preserve">The data is stored on a System </w:t>
      </w:r>
      <w:r w:rsidR="008A5982">
        <w:t xml:space="preserve">(including a Columbia University multi-user System </w:t>
      </w:r>
      <w:r w:rsidR="00BB115A">
        <w:t>or</w:t>
      </w:r>
      <w:r w:rsidR="008A5982">
        <w:t xml:space="preserve"> a third party vendor System) that complies </w:t>
      </w:r>
      <w:r>
        <w:t xml:space="preserve">with the Columbia University Registration and Protection of Systems Policy (the </w:t>
      </w:r>
      <w:r w:rsidR="008A5982">
        <w:rPr>
          <w:b/>
          <w:bCs/>
        </w:rPr>
        <w:t>Systems Policy)</w:t>
      </w:r>
      <w:r w:rsidR="00642B58">
        <w:t xml:space="preserve"> and meets the requirements set forth below</w:t>
      </w:r>
      <w:r w:rsidR="004544A1">
        <w:t>:</w:t>
      </w:r>
      <w:r w:rsidR="00642B58">
        <w:rPr>
          <w:b/>
          <w:bCs/>
        </w:rPr>
        <w:t xml:space="preserve"> </w:t>
      </w:r>
      <w:hyperlink r:id="rId11"/>
    </w:p>
    <w:p w14:paraId="6CE0F0CC" w14:textId="77777777" w:rsidR="00642B58" w:rsidRDefault="00642B58">
      <w:pPr>
        <w:pStyle w:val="BodyText"/>
        <w:ind w:left="120" w:right="179"/>
      </w:pPr>
    </w:p>
    <w:p w14:paraId="0C82BC9F" w14:textId="77777777" w:rsidR="00642B58" w:rsidRDefault="00642B58" w:rsidP="00642B58">
      <w:pPr>
        <w:pStyle w:val="BodyText"/>
        <w:numPr>
          <w:ilvl w:val="2"/>
          <w:numId w:val="1"/>
        </w:numPr>
        <w:ind w:right="179"/>
        <w:rPr>
          <w:b/>
          <w:bCs/>
        </w:rPr>
      </w:pPr>
      <w:r>
        <w:rPr>
          <w:b/>
          <w:bCs/>
        </w:rPr>
        <w:t xml:space="preserve">PHI </w:t>
      </w:r>
    </w:p>
    <w:p w14:paraId="0E8AD2A4" w14:textId="77777777" w:rsidR="00642B58" w:rsidRDefault="00642B58" w:rsidP="00642B58">
      <w:pPr>
        <w:pStyle w:val="BodyText"/>
        <w:ind w:right="179"/>
        <w:rPr>
          <w:b/>
          <w:bCs/>
        </w:rPr>
      </w:pPr>
    </w:p>
    <w:p w14:paraId="7EBF9DDD" w14:textId="1BFEBBC3" w:rsidR="00642B58" w:rsidRPr="00AC058B" w:rsidRDefault="00642B58" w:rsidP="00642B58">
      <w:pPr>
        <w:pStyle w:val="BodyText"/>
        <w:ind w:right="179"/>
        <w:rPr>
          <w:b/>
          <w:bCs/>
        </w:rPr>
      </w:pPr>
      <w:r>
        <w:t xml:space="preserve">All data constituting PHI (including Limited Data Sets (as defined in the Columbia University </w:t>
      </w:r>
      <w:hyperlink r:id="rId12" w:history="1">
        <w:r w:rsidR="00E738BA" w:rsidRPr="0041487A">
          <w:rPr>
            <w:rStyle w:val="Hyperlink"/>
          </w:rPr>
          <w:t>HIPAA and Research Policy</w:t>
        </w:r>
      </w:hyperlink>
      <w:r w:rsidR="00E738BA">
        <w:t>), regardless of whether the data were generated in connection with research conducted by a CUIMC-based PI or a Morningside campus (</w:t>
      </w:r>
      <w:r w:rsidR="00E738BA">
        <w:rPr>
          <w:b/>
          <w:bCs/>
        </w:rPr>
        <w:t>Morningside)</w:t>
      </w:r>
      <w:r w:rsidR="00E738BA">
        <w:t>-based PI must be stored on a S</w:t>
      </w:r>
      <w:r w:rsidR="00BB115A">
        <w:t xml:space="preserve">ystem </w:t>
      </w:r>
      <w:r w:rsidR="00E4083E">
        <w:t>listed as certified under the “1.2 CUMC Certified Systems List” tab in RSAM</w:t>
      </w:r>
      <w:r w:rsidR="00BB115A">
        <w:t>.</w:t>
      </w:r>
    </w:p>
    <w:p w14:paraId="181821A5" w14:textId="77777777" w:rsidR="00E4083E" w:rsidRDefault="00E4083E" w:rsidP="00642B58">
      <w:pPr>
        <w:pStyle w:val="BodyText"/>
        <w:ind w:right="179"/>
      </w:pPr>
    </w:p>
    <w:p w14:paraId="70CF823E" w14:textId="77777777" w:rsidR="00E4083E" w:rsidRDefault="00E4083E" w:rsidP="00E4083E">
      <w:pPr>
        <w:pStyle w:val="BodyText"/>
        <w:numPr>
          <w:ilvl w:val="2"/>
          <w:numId w:val="1"/>
        </w:numPr>
        <w:ind w:right="179"/>
        <w:rPr>
          <w:b/>
          <w:bCs/>
        </w:rPr>
      </w:pPr>
      <w:r>
        <w:rPr>
          <w:b/>
          <w:bCs/>
        </w:rPr>
        <w:t>RHI or PII</w:t>
      </w:r>
    </w:p>
    <w:p w14:paraId="63C4736A" w14:textId="77777777" w:rsidR="00E4083E" w:rsidRDefault="00E4083E" w:rsidP="00E4083E">
      <w:pPr>
        <w:pStyle w:val="BodyText"/>
        <w:ind w:right="179"/>
        <w:rPr>
          <w:b/>
          <w:bCs/>
        </w:rPr>
      </w:pPr>
    </w:p>
    <w:p w14:paraId="028CA31F" w14:textId="53EC81C3" w:rsidR="00E4083E" w:rsidRDefault="00E4083E" w:rsidP="00E4083E">
      <w:pPr>
        <w:pStyle w:val="BodyText"/>
        <w:ind w:right="179"/>
      </w:pPr>
      <w:r>
        <w:t xml:space="preserve">All data constituting PHI or PII generated in connection with research conducted by a CUIMC-based PI must be stored on a </w:t>
      </w:r>
      <w:r w:rsidR="00BB115A">
        <w:t xml:space="preserve">System listed as certified under the “1.2 </w:t>
      </w:r>
      <w:r>
        <w:t>CU</w:t>
      </w:r>
      <w:r w:rsidR="00BB115A">
        <w:t>MC Certified Systems List” tab in RSAM.</w:t>
      </w:r>
    </w:p>
    <w:p w14:paraId="685A882B" w14:textId="77777777" w:rsidR="00E4083E" w:rsidRDefault="00E4083E" w:rsidP="00E4083E">
      <w:pPr>
        <w:pStyle w:val="BodyText"/>
        <w:ind w:right="179"/>
      </w:pPr>
    </w:p>
    <w:p w14:paraId="7426C465" w14:textId="491A4132" w:rsidR="00E4083E" w:rsidRDefault="00E4083E" w:rsidP="00E4083E">
      <w:pPr>
        <w:pStyle w:val="BodyText"/>
        <w:ind w:right="179"/>
      </w:pPr>
      <w:r>
        <w:t>All data</w:t>
      </w:r>
      <w:r w:rsidR="003C06A9">
        <w:t xml:space="preserve"> constituting </w:t>
      </w:r>
      <w:r w:rsidR="00BB115A">
        <w:t>R</w:t>
      </w:r>
      <w:r w:rsidR="003C06A9">
        <w:t>HI or PII generated in connection with research conducted by a Morningside-based PI must be stored on a S</w:t>
      </w:r>
      <w:r w:rsidR="00BB115A">
        <w:t>ystem</w:t>
      </w:r>
      <w:r w:rsidR="003C06A9">
        <w:t xml:space="preserve"> registered under the “1.1 Search All Systems” tab </w:t>
      </w:r>
      <w:r w:rsidR="004E075C">
        <w:t xml:space="preserve">or listed under the “1.2 CUMC Certified Systems List” tab </w:t>
      </w:r>
      <w:r w:rsidR="003C06A9">
        <w:t>in RSAM.</w:t>
      </w:r>
    </w:p>
    <w:p w14:paraId="0E494151" w14:textId="77777777" w:rsidR="003C06A9" w:rsidRDefault="003C06A9" w:rsidP="00E4083E">
      <w:pPr>
        <w:pStyle w:val="BodyText"/>
        <w:ind w:right="179"/>
      </w:pPr>
    </w:p>
    <w:p w14:paraId="2B5B8630" w14:textId="25635725" w:rsidR="003C06A9" w:rsidRPr="00AC058B" w:rsidRDefault="003C06A9" w:rsidP="00AC058B">
      <w:pPr>
        <w:pStyle w:val="BodyText"/>
        <w:ind w:right="179"/>
      </w:pPr>
      <w:r>
        <w:t xml:space="preserve">In each of the above cases, the </w:t>
      </w:r>
      <w:r w:rsidR="00274C04">
        <w:t>RSAM ID</w:t>
      </w:r>
      <w:r>
        <w:t xml:space="preserve"> must be included in </w:t>
      </w:r>
      <w:proofErr w:type="gramStart"/>
      <w:r>
        <w:t>the  applicable</w:t>
      </w:r>
      <w:proofErr w:type="gramEnd"/>
      <w:r>
        <w:t xml:space="preserve"> IRB protocol. </w:t>
      </w:r>
    </w:p>
    <w:p w14:paraId="71379708" w14:textId="77777777" w:rsidR="00E4083E" w:rsidRPr="00AC058B" w:rsidRDefault="00E4083E" w:rsidP="00AC058B">
      <w:pPr>
        <w:pStyle w:val="BodyText"/>
        <w:ind w:right="179"/>
        <w:rPr>
          <w:b/>
          <w:bCs/>
        </w:rPr>
      </w:pPr>
    </w:p>
    <w:p w14:paraId="21A468AA" w14:textId="77777777" w:rsidR="00D6345A" w:rsidRDefault="004E075C" w:rsidP="00AC058B">
      <w:pPr>
        <w:pStyle w:val="Heading1"/>
        <w:numPr>
          <w:ilvl w:val="1"/>
          <w:numId w:val="1"/>
        </w:numPr>
        <w:tabs>
          <w:tab w:val="left" w:pos="840"/>
        </w:tabs>
        <w:spacing w:before="1"/>
      </w:pPr>
      <w:r>
        <w:rPr>
          <w:spacing w:val="-2"/>
        </w:rPr>
        <w:t>Endpoints</w:t>
      </w:r>
    </w:p>
    <w:p w14:paraId="3B500545" w14:textId="77777777" w:rsidR="00D6345A" w:rsidRDefault="00D6345A">
      <w:pPr>
        <w:pStyle w:val="BodyText"/>
        <w:spacing w:before="9"/>
        <w:rPr>
          <w:b/>
          <w:sz w:val="23"/>
        </w:rPr>
      </w:pPr>
    </w:p>
    <w:p w14:paraId="07E6F4CC" w14:textId="0F9FC1D0" w:rsidR="00D6345A" w:rsidRDefault="004E075C">
      <w:pPr>
        <w:pStyle w:val="BodyText"/>
        <w:ind w:left="120" w:right="146"/>
      </w:pPr>
      <w:r>
        <w:t xml:space="preserve">The data is stored on an Endpoint </w:t>
      </w:r>
      <w:r w:rsidR="003C06A9">
        <w:t xml:space="preserve">that complies </w:t>
      </w:r>
      <w:r>
        <w:t xml:space="preserve">with the Columbia University </w:t>
      </w:r>
      <w:hyperlink r:id="rId13" w:history="1">
        <w:r w:rsidRPr="00BE7362">
          <w:rPr>
            <w:rStyle w:val="Hyperlink"/>
          </w:rPr>
          <w:t>Registration and Protection of Endpoints Policy</w:t>
        </w:r>
      </w:hyperlink>
      <w:r>
        <w:t xml:space="preserve"> (the </w:t>
      </w:r>
      <w:r w:rsidRPr="00AC058B">
        <w:rPr>
          <w:b/>
          <w:bCs/>
        </w:rPr>
        <w:t>Endpoints Policy</w:t>
      </w:r>
      <w:r>
        <w:t>)</w:t>
      </w:r>
      <w:r w:rsidR="004544A1">
        <w:t>.</w:t>
      </w:r>
      <w:r>
        <w:t>The inclusion of a</w:t>
      </w:r>
      <w:r>
        <w:rPr>
          <w:spacing w:val="-2"/>
        </w:rPr>
        <w:t xml:space="preserve"> </w:t>
      </w:r>
      <w:r>
        <w:t>statement</w:t>
      </w:r>
      <w:r>
        <w:rPr>
          <w:spacing w:val="-2"/>
        </w:rPr>
        <w:t xml:space="preserve"> </w:t>
      </w:r>
      <w:r>
        <w:t>to</w:t>
      </w:r>
      <w:r>
        <w:rPr>
          <w:spacing w:val="-2"/>
        </w:rPr>
        <w:t xml:space="preserve"> </w:t>
      </w:r>
      <w:r>
        <w:t>such</w:t>
      </w:r>
      <w:r>
        <w:rPr>
          <w:spacing w:val="-2"/>
        </w:rPr>
        <w:t xml:space="preserve"> </w:t>
      </w:r>
      <w:r>
        <w:t>effect</w:t>
      </w:r>
      <w:r>
        <w:rPr>
          <w:spacing w:val="-2"/>
        </w:rPr>
        <w:t xml:space="preserve"> </w:t>
      </w:r>
      <w:r>
        <w:t>in</w:t>
      </w:r>
      <w:r>
        <w:rPr>
          <w:spacing w:val="-2"/>
        </w:rPr>
        <w:t xml:space="preserve"> </w:t>
      </w:r>
      <w:r>
        <w:t>a</w:t>
      </w:r>
      <w:r w:rsidR="00533B10">
        <w:t>n IRB</w:t>
      </w:r>
      <w:r>
        <w:rPr>
          <w:spacing w:val="-2"/>
        </w:rPr>
        <w:t xml:space="preserve"> </w:t>
      </w:r>
      <w:r>
        <w:t>protocol</w:t>
      </w:r>
      <w:r>
        <w:rPr>
          <w:spacing w:val="-2"/>
        </w:rPr>
        <w:t xml:space="preserve"> </w:t>
      </w:r>
      <w:r>
        <w:t>will</w:t>
      </w:r>
      <w:r>
        <w:rPr>
          <w:spacing w:val="-2"/>
        </w:rPr>
        <w:t xml:space="preserve"> </w:t>
      </w:r>
      <w:r>
        <w:t>constitute</w:t>
      </w:r>
      <w:r>
        <w:rPr>
          <w:spacing w:val="-2"/>
        </w:rPr>
        <w:t xml:space="preserve"> </w:t>
      </w:r>
      <w:r>
        <w:t>a</w:t>
      </w:r>
      <w:r>
        <w:rPr>
          <w:spacing w:val="-2"/>
        </w:rPr>
        <w:t xml:space="preserve"> </w:t>
      </w:r>
      <w:r>
        <w:t>certification</w:t>
      </w:r>
      <w:r>
        <w:rPr>
          <w:spacing w:val="-2"/>
        </w:rPr>
        <w:t xml:space="preserve"> </w:t>
      </w:r>
      <w:r>
        <w:t>by</w:t>
      </w:r>
      <w:r>
        <w:rPr>
          <w:spacing w:val="-5"/>
        </w:rPr>
        <w:t xml:space="preserve"> </w:t>
      </w:r>
      <w:r>
        <w:t>the</w:t>
      </w:r>
      <w:r>
        <w:rPr>
          <w:spacing w:val="-3"/>
        </w:rPr>
        <w:t xml:space="preserve"> </w:t>
      </w:r>
      <w:r>
        <w:t>PI</w:t>
      </w:r>
      <w:r>
        <w:rPr>
          <w:spacing w:val="-3"/>
        </w:rPr>
        <w:t xml:space="preserve"> </w:t>
      </w:r>
      <w:r>
        <w:t>that</w:t>
      </w:r>
      <w:r>
        <w:rPr>
          <w:spacing w:val="-3"/>
        </w:rPr>
        <w:t xml:space="preserve"> </w:t>
      </w:r>
      <w:r>
        <w:t>each</w:t>
      </w:r>
      <w:r>
        <w:rPr>
          <w:spacing w:val="-3"/>
        </w:rPr>
        <w:t xml:space="preserve"> </w:t>
      </w:r>
      <w:r>
        <w:t>Endpoint to be used in the study will be so protected.</w:t>
      </w:r>
    </w:p>
    <w:p w14:paraId="4249E996" w14:textId="77777777" w:rsidR="00D6345A" w:rsidRDefault="00D6345A">
      <w:pPr>
        <w:pStyle w:val="BodyText"/>
        <w:spacing w:before="2"/>
      </w:pPr>
    </w:p>
    <w:p w14:paraId="2892F12A" w14:textId="77777777" w:rsidR="00D6345A" w:rsidRDefault="004E075C" w:rsidP="00AC058B">
      <w:pPr>
        <w:pStyle w:val="Heading1"/>
        <w:numPr>
          <w:ilvl w:val="0"/>
          <w:numId w:val="1"/>
        </w:numPr>
        <w:tabs>
          <w:tab w:val="left" w:pos="660"/>
          <w:tab w:val="left" w:pos="661"/>
        </w:tabs>
      </w:pPr>
      <w:r>
        <w:t>Data</w:t>
      </w:r>
      <w:r>
        <w:rPr>
          <w:spacing w:val="-4"/>
        </w:rPr>
        <w:t xml:space="preserve"> </w:t>
      </w:r>
      <w:r>
        <w:rPr>
          <w:spacing w:val="-2"/>
        </w:rPr>
        <w:t>Transmission</w:t>
      </w:r>
    </w:p>
    <w:p w14:paraId="283AB1A6" w14:textId="77777777" w:rsidR="00D6345A" w:rsidRDefault="00D6345A">
      <w:pPr>
        <w:pStyle w:val="BodyText"/>
        <w:spacing w:before="9"/>
        <w:rPr>
          <w:b/>
          <w:sz w:val="23"/>
        </w:rPr>
      </w:pPr>
    </w:p>
    <w:p w14:paraId="6EBDFB87" w14:textId="62571430" w:rsidR="00D6345A" w:rsidRDefault="004E075C">
      <w:pPr>
        <w:pStyle w:val="BodyText"/>
        <w:ind w:left="120" w:right="173"/>
        <w:jc w:val="both"/>
        <w:rPr>
          <w:b/>
        </w:rPr>
      </w:pPr>
      <w:r>
        <w:t>An acceptable data security plan must provide that all electronic transmissions of Sensitive Data over</w:t>
      </w:r>
      <w:r>
        <w:rPr>
          <w:spacing w:val="-3"/>
        </w:rPr>
        <w:t xml:space="preserve"> </w:t>
      </w:r>
      <w:r>
        <w:t>the</w:t>
      </w:r>
      <w:r>
        <w:rPr>
          <w:spacing w:val="-3"/>
        </w:rPr>
        <w:t xml:space="preserve"> </w:t>
      </w:r>
      <w:r>
        <w:t>internet</w:t>
      </w:r>
      <w:r>
        <w:rPr>
          <w:spacing w:val="-3"/>
        </w:rPr>
        <w:t xml:space="preserve"> </w:t>
      </w:r>
      <w:r>
        <w:t>(including</w:t>
      </w:r>
      <w:r>
        <w:rPr>
          <w:spacing w:val="-3"/>
        </w:rPr>
        <w:t xml:space="preserve"> </w:t>
      </w:r>
      <w:r>
        <w:t>by</w:t>
      </w:r>
      <w:r>
        <w:rPr>
          <w:spacing w:val="-3"/>
        </w:rPr>
        <w:t xml:space="preserve"> </w:t>
      </w:r>
      <w:r>
        <w:t>email),</w:t>
      </w:r>
      <w:r>
        <w:rPr>
          <w:spacing w:val="-3"/>
        </w:rPr>
        <w:t xml:space="preserve"> </w:t>
      </w:r>
      <w:r>
        <w:t>file</w:t>
      </w:r>
      <w:r>
        <w:rPr>
          <w:spacing w:val="-3"/>
        </w:rPr>
        <w:t xml:space="preserve"> </w:t>
      </w:r>
      <w:r>
        <w:t>transfers</w:t>
      </w:r>
      <w:r>
        <w:rPr>
          <w:spacing w:val="-3"/>
        </w:rPr>
        <w:t xml:space="preserve"> </w:t>
      </w:r>
      <w:r>
        <w:t>or</w:t>
      </w:r>
      <w:r>
        <w:rPr>
          <w:spacing w:val="-3"/>
        </w:rPr>
        <w:t xml:space="preserve"> </w:t>
      </w:r>
      <w:r>
        <w:t>other</w:t>
      </w:r>
      <w:r>
        <w:rPr>
          <w:spacing w:val="-3"/>
        </w:rPr>
        <w:t xml:space="preserve"> </w:t>
      </w:r>
      <w:r>
        <w:t>data</w:t>
      </w:r>
      <w:r>
        <w:rPr>
          <w:spacing w:val="-3"/>
        </w:rPr>
        <w:t xml:space="preserve"> </w:t>
      </w:r>
      <w:r>
        <w:t>transfer</w:t>
      </w:r>
      <w:r>
        <w:rPr>
          <w:spacing w:val="-3"/>
        </w:rPr>
        <w:t xml:space="preserve"> </w:t>
      </w:r>
      <w:r>
        <w:t>modalities,</w:t>
      </w:r>
      <w:r>
        <w:rPr>
          <w:spacing w:val="-3"/>
        </w:rPr>
        <w:t xml:space="preserve"> </w:t>
      </w:r>
      <w:r>
        <w:t>are</w:t>
      </w:r>
      <w:r>
        <w:rPr>
          <w:spacing w:val="-3"/>
        </w:rPr>
        <w:t xml:space="preserve"> </w:t>
      </w:r>
      <w:r>
        <w:t>made</w:t>
      </w:r>
      <w:r>
        <w:rPr>
          <w:spacing w:val="-3"/>
        </w:rPr>
        <w:t xml:space="preserve"> </w:t>
      </w:r>
      <w:r>
        <w:t>in compliance</w:t>
      </w:r>
      <w:r>
        <w:rPr>
          <w:spacing w:val="-2"/>
        </w:rPr>
        <w:t xml:space="preserve"> </w:t>
      </w:r>
      <w:r>
        <w:t>with</w:t>
      </w:r>
      <w:r>
        <w:rPr>
          <w:spacing w:val="-2"/>
        </w:rPr>
        <w:t xml:space="preserve"> </w:t>
      </w:r>
      <w:r>
        <w:t>the</w:t>
      </w:r>
      <w:r>
        <w:rPr>
          <w:spacing w:val="-2"/>
        </w:rPr>
        <w:t xml:space="preserve"> </w:t>
      </w:r>
      <w:r>
        <w:t>Systems</w:t>
      </w:r>
      <w:r>
        <w:rPr>
          <w:spacing w:val="-2"/>
        </w:rPr>
        <w:t xml:space="preserve"> </w:t>
      </w:r>
      <w:r>
        <w:t>Policy</w:t>
      </w:r>
      <w:r>
        <w:rPr>
          <w:spacing w:val="-2"/>
        </w:rPr>
        <w:t xml:space="preserve"> </w:t>
      </w:r>
      <w:r>
        <w:t>or</w:t>
      </w:r>
      <w:r>
        <w:rPr>
          <w:spacing w:val="-2"/>
        </w:rPr>
        <w:t xml:space="preserve"> </w:t>
      </w:r>
      <w:r>
        <w:t>the</w:t>
      </w:r>
      <w:r>
        <w:rPr>
          <w:spacing w:val="-2"/>
        </w:rPr>
        <w:t xml:space="preserve"> </w:t>
      </w:r>
      <w:r>
        <w:t>Endpoints</w:t>
      </w:r>
      <w:r>
        <w:rPr>
          <w:spacing w:val="-2"/>
        </w:rPr>
        <w:t xml:space="preserve"> </w:t>
      </w:r>
      <w:r>
        <w:t>Policy</w:t>
      </w:r>
      <w:r>
        <w:rPr>
          <w:spacing w:val="-2"/>
        </w:rPr>
        <w:t xml:space="preserve"> </w:t>
      </w:r>
      <w:r>
        <w:t>and</w:t>
      </w:r>
      <w:r>
        <w:rPr>
          <w:spacing w:val="-2"/>
        </w:rPr>
        <w:t xml:space="preserve"> </w:t>
      </w:r>
      <w:r>
        <w:t>the</w:t>
      </w:r>
      <w:r>
        <w:rPr>
          <w:spacing w:val="-2"/>
        </w:rPr>
        <w:t xml:space="preserve"> </w:t>
      </w:r>
      <w:r>
        <w:t>Columbia</w:t>
      </w:r>
      <w:r>
        <w:rPr>
          <w:spacing w:val="-2"/>
        </w:rPr>
        <w:t xml:space="preserve"> </w:t>
      </w:r>
      <w:r>
        <w:t>University</w:t>
      </w:r>
      <w:r>
        <w:rPr>
          <w:spacing w:val="-2"/>
        </w:rPr>
        <w:t xml:space="preserve"> </w:t>
      </w:r>
      <w:hyperlink r:id="rId14" w:history="1">
        <w:r w:rsidRPr="00D55BBB">
          <w:rPr>
            <w:rStyle w:val="Hyperlink"/>
          </w:rPr>
          <w:t>Email Usage Policy</w:t>
        </w:r>
      </w:hyperlink>
      <w:r w:rsidR="004544A1">
        <w:t>.</w:t>
      </w:r>
    </w:p>
    <w:p w14:paraId="5D475CF2" w14:textId="77777777" w:rsidR="004544A1" w:rsidRDefault="004544A1">
      <w:pPr>
        <w:pStyle w:val="BodyText"/>
        <w:spacing w:before="4"/>
        <w:rPr>
          <w:b/>
          <w:sz w:val="16"/>
        </w:rPr>
      </w:pPr>
    </w:p>
    <w:p w14:paraId="15C597C4" w14:textId="77777777" w:rsidR="00D6345A" w:rsidRDefault="004544A1" w:rsidP="00AC058B">
      <w:pPr>
        <w:pStyle w:val="Heading1"/>
        <w:numPr>
          <w:ilvl w:val="0"/>
          <w:numId w:val="1"/>
        </w:numPr>
        <w:tabs>
          <w:tab w:val="left" w:pos="660"/>
          <w:tab w:val="left" w:pos="661"/>
        </w:tabs>
        <w:spacing w:before="90"/>
      </w:pPr>
      <w:r>
        <w:t xml:space="preserve"> Data</w:t>
      </w:r>
      <w:r>
        <w:rPr>
          <w:spacing w:val="-7"/>
        </w:rPr>
        <w:t xml:space="preserve"> </w:t>
      </w:r>
      <w:r>
        <w:t>Loss/Security</w:t>
      </w:r>
      <w:r>
        <w:rPr>
          <w:spacing w:val="-7"/>
        </w:rPr>
        <w:t xml:space="preserve"> </w:t>
      </w:r>
      <w:r>
        <w:rPr>
          <w:spacing w:val="-2"/>
        </w:rPr>
        <w:t>Breach</w:t>
      </w:r>
    </w:p>
    <w:p w14:paraId="585C0A9A" w14:textId="77777777" w:rsidR="00D6345A" w:rsidRDefault="00D6345A">
      <w:pPr>
        <w:pStyle w:val="BodyText"/>
        <w:spacing w:before="9"/>
        <w:rPr>
          <w:b/>
          <w:sz w:val="23"/>
        </w:rPr>
      </w:pPr>
    </w:p>
    <w:p w14:paraId="5E0F8BF6" w14:textId="0F94C8A5" w:rsidR="00D6345A" w:rsidRDefault="004E075C">
      <w:pPr>
        <w:pStyle w:val="BodyText"/>
        <w:ind w:left="119" w:right="520"/>
        <w:rPr>
          <w:b/>
        </w:rPr>
      </w:pPr>
      <w:r>
        <w:t>Any loss of or breach of security relating to research data containing Sensitive Data must be reported</w:t>
      </w:r>
      <w:r>
        <w:rPr>
          <w:spacing w:val="-3"/>
        </w:rPr>
        <w:t xml:space="preserve"> </w:t>
      </w:r>
      <w:r>
        <w:t>(1)</w:t>
      </w:r>
      <w:r>
        <w:rPr>
          <w:spacing w:val="-3"/>
        </w:rPr>
        <w:t xml:space="preserve"> </w:t>
      </w:r>
      <w:r>
        <w:t>to</w:t>
      </w:r>
      <w:r>
        <w:rPr>
          <w:spacing w:val="-3"/>
        </w:rPr>
        <w:t xml:space="preserve"> </w:t>
      </w:r>
      <w:r>
        <w:t>the</w:t>
      </w:r>
      <w:r>
        <w:rPr>
          <w:spacing w:val="-3"/>
        </w:rPr>
        <w:t xml:space="preserve"> </w:t>
      </w:r>
      <w:r>
        <w:t>IRB</w:t>
      </w:r>
      <w:r>
        <w:rPr>
          <w:spacing w:val="-3"/>
        </w:rPr>
        <w:t xml:space="preserve"> </w:t>
      </w:r>
      <w:r>
        <w:t>in</w:t>
      </w:r>
      <w:r>
        <w:rPr>
          <w:spacing w:val="-3"/>
        </w:rPr>
        <w:t xml:space="preserve"> </w:t>
      </w:r>
      <w:r>
        <w:t>Rascal</w:t>
      </w:r>
      <w:r>
        <w:rPr>
          <w:spacing w:val="-3"/>
        </w:rPr>
        <w:t xml:space="preserve"> </w:t>
      </w:r>
      <w:r>
        <w:t>as</w:t>
      </w:r>
      <w:r>
        <w:rPr>
          <w:spacing w:val="-3"/>
        </w:rPr>
        <w:t xml:space="preserve"> </w:t>
      </w:r>
      <w:r>
        <w:t>an</w:t>
      </w:r>
      <w:r>
        <w:rPr>
          <w:spacing w:val="-3"/>
        </w:rPr>
        <w:t xml:space="preserve"> </w:t>
      </w:r>
      <w:r>
        <w:t>Unanticipated</w:t>
      </w:r>
      <w:r>
        <w:rPr>
          <w:spacing w:val="-2"/>
        </w:rPr>
        <w:t xml:space="preserve"> </w:t>
      </w:r>
      <w:r>
        <w:t>Problem</w:t>
      </w:r>
      <w:r>
        <w:rPr>
          <w:spacing w:val="-3"/>
        </w:rPr>
        <w:t xml:space="preserve"> </w:t>
      </w:r>
      <w:r>
        <w:t>Involving</w:t>
      </w:r>
      <w:r>
        <w:rPr>
          <w:spacing w:val="-4"/>
        </w:rPr>
        <w:t xml:space="preserve"> </w:t>
      </w:r>
      <w:r>
        <w:t>Risks</w:t>
      </w:r>
      <w:r>
        <w:rPr>
          <w:spacing w:val="-2"/>
        </w:rPr>
        <w:t xml:space="preserve"> </w:t>
      </w:r>
      <w:r>
        <w:t>to</w:t>
      </w:r>
      <w:r>
        <w:rPr>
          <w:spacing w:val="-2"/>
        </w:rPr>
        <w:t xml:space="preserve"> </w:t>
      </w:r>
      <w:r>
        <w:t>Subjects</w:t>
      </w:r>
      <w:r>
        <w:rPr>
          <w:spacing w:val="-2"/>
        </w:rPr>
        <w:t xml:space="preserve"> </w:t>
      </w:r>
      <w:r>
        <w:t xml:space="preserve">or </w:t>
      </w:r>
      <w:r>
        <w:lastRenderedPageBreak/>
        <w:t xml:space="preserve">Others and (2) in compliance with the Columbia University </w:t>
      </w:r>
      <w:hyperlink r:id="rId15" w:history="1">
        <w:r w:rsidRPr="00773671">
          <w:rPr>
            <w:rStyle w:val="Hyperlink"/>
          </w:rPr>
          <w:t>Electronic Data Security Breach Reporting and Response Policy</w:t>
        </w:r>
      </w:hyperlink>
      <w:r w:rsidR="004544A1">
        <w:rPr>
          <w:b/>
          <w:spacing w:val="-2"/>
        </w:rPr>
        <w:t>.</w:t>
      </w:r>
    </w:p>
    <w:p w14:paraId="15794A4A" w14:textId="77777777" w:rsidR="00D6345A" w:rsidRDefault="00D6345A">
      <w:pPr>
        <w:pStyle w:val="BodyText"/>
        <w:spacing w:before="2"/>
        <w:rPr>
          <w:b/>
          <w:sz w:val="16"/>
        </w:rPr>
      </w:pPr>
    </w:p>
    <w:p w14:paraId="6923BE44" w14:textId="77777777" w:rsidR="00D6345A" w:rsidRDefault="004E075C">
      <w:pPr>
        <w:pStyle w:val="BodyText"/>
        <w:spacing w:before="90"/>
        <w:ind w:left="120" w:right="327"/>
      </w:pPr>
      <w:r>
        <w:t>Examples of security breaches include: (1) lost or stolen desktops, laptops, USB drives, CD/DVD/Zip drives, etc. with stored data; (2) a compromised account that is used to look up data</w:t>
      </w:r>
      <w:r>
        <w:rPr>
          <w:spacing w:val="-3"/>
        </w:rPr>
        <w:t xml:space="preserve"> </w:t>
      </w:r>
      <w:r>
        <w:t>(e.g.,</w:t>
      </w:r>
      <w:r>
        <w:rPr>
          <w:spacing w:val="-3"/>
        </w:rPr>
        <w:t xml:space="preserve"> </w:t>
      </w:r>
      <w:r>
        <w:t>unauthorized</w:t>
      </w:r>
      <w:r>
        <w:rPr>
          <w:spacing w:val="-3"/>
        </w:rPr>
        <w:t xml:space="preserve"> </w:t>
      </w:r>
      <w:r>
        <w:t>user</w:t>
      </w:r>
      <w:r>
        <w:rPr>
          <w:spacing w:val="-3"/>
        </w:rPr>
        <w:t xml:space="preserve"> </w:t>
      </w:r>
      <w:r>
        <w:t>has</w:t>
      </w:r>
      <w:r>
        <w:rPr>
          <w:spacing w:val="-3"/>
        </w:rPr>
        <w:t xml:space="preserve"> </w:t>
      </w:r>
      <w:r>
        <w:t>had</w:t>
      </w:r>
      <w:r>
        <w:rPr>
          <w:spacing w:val="-4"/>
        </w:rPr>
        <w:t xml:space="preserve"> </w:t>
      </w:r>
      <w:r>
        <w:t>access</w:t>
      </w:r>
      <w:r>
        <w:rPr>
          <w:spacing w:val="-3"/>
        </w:rPr>
        <w:t xml:space="preserve"> </w:t>
      </w:r>
      <w:r>
        <w:t>to</w:t>
      </w:r>
      <w:r>
        <w:rPr>
          <w:spacing w:val="-3"/>
        </w:rPr>
        <w:t xml:space="preserve"> </w:t>
      </w:r>
      <w:r>
        <w:t>the</w:t>
      </w:r>
      <w:r>
        <w:rPr>
          <w:spacing w:val="-2"/>
        </w:rPr>
        <w:t xml:space="preserve"> </w:t>
      </w:r>
      <w:r>
        <w:t>account);</w:t>
      </w:r>
      <w:r>
        <w:rPr>
          <w:spacing w:val="-2"/>
        </w:rPr>
        <w:t xml:space="preserve"> </w:t>
      </w:r>
      <w:r>
        <w:t>(3)</w:t>
      </w:r>
      <w:r>
        <w:rPr>
          <w:spacing w:val="-2"/>
        </w:rPr>
        <w:t xml:space="preserve"> </w:t>
      </w:r>
      <w:r>
        <w:t>a</w:t>
      </w:r>
      <w:r>
        <w:rPr>
          <w:spacing w:val="-2"/>
        </w:rPr>
        <w:t xml:space="preserve"> </w:t>
      </w:r>
      <w:r>
        <w:t>compromised</w:t>
      </w:r>
      <w:r>
        <w:rPr>
          <w:spacing w:val="-2"/>
        </w:rPr>
        <w:t xml:space="preserve"> </w:t>
      </w:r>
      <w:r>
        <w:t>work</w:t>
      </w:r>
      <w:r>
        <w:rPr>
          <w:spacing w:val="-2"/>
        </w:rPr>
        <w:t xml:space="preserve"> </w:t>
      </w:r>
      <w:r>
        <w:t>station</w:t>
      </w:r>
      <w:r>
        <w:rPr>
          <w:spacing w:val="-2"/>
        </w:rPr>
        <w:t xml:space="preserve"> </w:t>
      </w:r>
      <w:r>
        <w:t>or server that contains data; and (4) accidental disclosure or data to unauthorized recipients (e.g., sending data to an incorrect email address).</w:t>
      </w:r>
    </w:p>
    <w:p w14:paraId="1B471830" w14:textId="77777777" w:rsidR="00D6345A" w:rsidRDefault="00D6345A">
      <w:pPr>
        <w:sectPr w:rsidR="00D6345A">
          <w:pgSz w:w="12240" w:h="15840"/>
          <w:pgMar w:top="1360" w:right="1340" w:bottom="1260" w:left="1320" w:header="0" w:footer="1065" w:gutter="0"/>
          <w:cols w:space="720"/>
        </w:sectPr>
      </w:pPr>
    </w:p>
    <w:p w14:paraId="369A59DC" w14:textId="77777777" w:rsidR="00D6345A" w:rsidRDefault="00D6345A">
      <w:pPr>
        <w:pStyle w:val="BodyText"/>
        <w:spacing w:before="2"/>
        <w:rPr>
          <w:b/>
          <w:sz w:val="16"/>
        </w:rPr>
      </w:pPr>
    </w:p>
    <w:p w14:paraId="4275BFDA" w14:textId="3C100EB7" w:rsidR="00D6345A" w:rsidRDefault="00D6345A">
      <w:pPr>
        <w:pStyle w:val="BodyText"/>
        <w:spacing w:before="1"/>
        <w:ind w:left="480" w:right="525"/>
      </w:pPr>
    </w:p>
    <w:sectPr w:rsidR="00D6345A">
      <w:pgSz w:w="12240" w:h="15840"/>
      <w:pgMar w:top="1360" w:right="1340" w:bottom="1260" w:left="1320" w:header="0"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0BD05" w14:textId="77777777" w:rsidR="004B5F07" w:rsidRDefault="004B5F07">
      <w:r>
        <w:separator/>
      </w:r>
    </w:p>
  </w:endnote>
  <w:endnote w:type="continuationSeparator" w:id="0">
    <w:p w14:paraId="0C51849B" w14:textId="77777777" w:rsidR="004B5F07" w:rsidRDefault="004B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FF23" w14:textId="77777777" w:rsidR="00D6345A" w:rsidRDefault="00D054A2">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355574E" wp14:editId="4C031717">
              <wp:simplePos x="0" y="0"/>
              <wp:positionH relativeFrom="page">
                <wp:posOffset>3810000</wp:posOffset>
              </wp:positionH>
              <wp:positionV relativeFrom="page">
                <wp:posOffset>9242425</wp:posOffset>
              </wp:positionV>
              <wp:extent cx="165100" cy="194310"/>
              <wp:effectExtent l="0" t="0" r="0" b="889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99956" w14:textId="77777777" w:rsidR="00D6345A" w:rsidRDefault="004E075C">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B8AC5" id="_x0000_t202" coordsize="21600,21600" o:spt="202" path="m,l,21600r21600,l21600,xe">
              <v:stroke joinstyle="miter"/>
              <v:path gradientshapeok="t" o:connecttype="rect"/>
            </v:shapetype>
            <v:shape id="docshape1" o:spid="_x0000_s1026" type="#_x0000_t202" style="position:absolute;margin-left:300pt;margin-top:727.75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" filled="f" stroked="f">
              <v:path arrowok="t"/>
              <v:textbox inset="0,0,0,0">
                <w:txbxContent>
                  <w:p w14:paraId="4387B989" w14:textId="77777777" w:rsidR="00D6345A" w:rsidRDefault="00000000">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29F1" w14:textId="77777777" w:rsidR="004B5F07" w:rsidRDefault="004B5F07">
      <w:r>
        <w:separator/>
      </w:r>
    </w:p>
  </w:footnote>
  <w:footnote w:type="continuationSeparator" w:id="0">
    <w:p w14:paraId="41F6AD96" w14:textId="77777777" w:rsidR="004B5F07" w:rsidRDefault="004B5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E59B1"/>
    <w:multiLevelType w:val="hybridMultilevel"/>
    <w:tmpl w:val="6E96E3C6"/>
    <w:lvl w:ilvl="0" w:tplc="DAA0E2F6">
      <w:start w:val="1"/>
      <w:numFmt w:val="upperRoman"/>
      <w:lvlText w:val="%1."/>
      <w:lvlJc w:val="left"/>
      <w:pPr>
        <w:ind w:left="659" w:hanging="540"/>
        <w:jc w:val="left"/>
      </w:pPr>
      <w:rPr>
        <w:rFonts w:ascii="Times New Roman" w:eastAsia="Times New Roman" w:hAnsi="Times New Roman" w:cs="Times New Roman" w:hint="default"/>
        <w:b/>
        <w:bCs/>
        <w:i w:val="0"/>
        <w:iCs w:val="0"/>
        <w:w w:val="99"/>
        <w:sz w:val="24"/>
        <w:szCs w:val="24"/>
        <w:lang w:val="en-US" w:eastAsia="en-US" w:bidi="ar-SA"/>
      </w:rPr>
    </w:lvl>
    <w:lvl w:ilvl="1" w:tplc="B622E644">
      <w:start w:val="1"/>
      <w:numFmt w:val="upperLetter"/>
      <w:lvlText w:val="%2."/>
      <w:lvlJc w:val="left"/>
      <w:pPr>
        <w:ind w:left="660" w:hanging="541"/>
        <w:jc w:val="left"/>
      </w:pPr>
      <w:rPr>
        <w:rFonts w:ascii="Times New Roman" w:eastAsia="Times New Roman" w:hAnsi="Times New Roman" w:cs="Times New Roman" w:hint="default"/>
        <w:b/>
        <w:bCs/>
        <w:i w:val="0"/>
        <w:iCs w:val="0"/>
        <w:w w:val="99"/>
        <w:sz w:val="24"/>
        <w:szCs w:val="24"/>
        <w:lang w:val="en-US" w:eastAsia="en-US" w:bidi="ar-SA"/>
      </w:rPr>
    </w:lvl>
    <w:lvl w:ilvl="2" w:tplc="6AB2C408">
      <w:start w:val="1"/>
      <w:numFmt w:val="decimal"/>
      <w:lvlText w:val="%3."/>
      <w:lvlJc w:val="left"/>
      <w:pPr>
        <w:ind w:left="840" w:hanging="360"/>
        <w:jc w:val="left"/>
      </w:pPr>
      <w:rPr>
        <w:rFonts w:ascii="Times New Roman" w:eastAsia="Times New Roman" w:hAnsi="Times New Roman" w:cs="Times New Roman" w:hint="default"/>
        <w:b/>
        <w:bCs/>
        <w:i w:val="0"/>
        <w:iCs w:val="0"/>
        <w:w w:val="100"/>
        <w:sz w:val="24"/>
        <w:szCs w:val="24"/>
        <w:lang w:val="en-US" w:eastAsia="en-US" w:bidi="ar-SA"/>
      </w:rPr>
    </w:lvl>
    <w:lvl w:ilvl="3" w:tplc="DC60CA0C">
      <w:numFmt w:val="bullet"/>
      <w:lvlText w:val="•"/>
      <w:lvlJc w:val="left"/>
      <w:pPr>
        <w:ind w:left="2782" w:hanging="360"/>
      </w:pPr>
      <w:rPr>
        <w:rFonts w:hint="default"/>
        <w:lang w:val="en-US" w:eastAsia="en-US" w:bidi="ar-SA"/>
      </w:rPr>
    </w:lvl>
    <w:lvl w:ilvl="4" w:tplc="E1F644B8">
      <w:numFmt w:val="bullet"/>
      <w:lvlText w:val="•"/>
      <w:lvlJc w:val="left"/>
      <w:pPr>
        <w:ind w:left="3753" w:hanging="360"/>
      </w:pPr>
      <w:rPr>
        <w:rFonts w:hint="default"/>
        <w:lang w:val="en-US" w:eastAsia="en-US" w:bidi="ar-SA"/>
      </w:rPr>
    </w:lvl>
    <w:lvl w:ilvl="5" w:tplc="987A2DF4">
      <w:numFmt w:val="bullet"/>
      <w:lvlText w:val="•"/>
      <w:lvlJc w:val="left"/>
      <w:pPr>
        <w:ind w:left="4724" w:hanging="360"/>
      </w:pPr>
      <w:rPr>
        <w:rFonts w:hint="default"/>
        <w:lang w:val="en-US" w:eastAsia="en-US" w:bidi="ar-SA"/>
      </w:rPr>
    </w:lvl>
    <w:lvl w:ilvl="6" w:tplc="6DB67588">
      <w:numFmt w:val="bullet"/>
      <w:lvlText w:val="•"/>
      <w:lvlJc w:val="left"/>
      <w:pPr>
        <w:ind w:left="5695" w:hanging="360"/>
      </w:pPr>
      <w:rPr>
        <w:rFonts w:hint="default"/>
        <w:lang w:val="en-US" w:eastAsia="en-US" w:bidi="ar-SA"/>
      </w:rPr>
    </w:lvl>
    <w:lvl w:ilvl="7" w:tplc="79648668">
      <w:numFmt w:val="bullet"/>
      <w:lvlText w:val="•"/>
      <w:lvlJc w:val="left"/>
      <w:pPr>
        <w:ind w:left="6666" w:hanging="360"/>
      </w:pPr>
      <w:rPr>
        <w:rFonts w:hint="default"/>
        <w:lang w:val="en-US" w:eastAsia="en-US" w:bidi="ar-SA"/>
      </w:rPr>
    </w:lvl>
    <w:lvl w:ilvl="8" w:tplc="E5EA0888">
      <w:numFmt w:val="bullet"/>
      <w:lvlText w:val="•"/>
      <w:lvlJc w:val="left"/>
      <w:pPr>
        <w:ind w:left="7637" w:hanging="360"/>
      </w:pPr>
      <w:rPr>
        <w:rFonts w:hint="default"/>
        <w:lang w:val="en-US" w:eastAsia="en-US" w:bidi="ar-SA"/>
      </w:rPr>
    </w:lvl>
  </w:abstractNum>
  <w:num w:numId="1" w16cid:durableId="22742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5A"/>
    <w:rsid w:val="00047BEB"/>
    <w:rsid w:val="00055175"/>
    <w:rsid w:val="00133FB6"/>
    <w:rsid w:val="00274C04"/>
    <w:rsid w:val="00306B86"/>
    <w:rsid w:val="0035083C"/>
    <w:rsid w:val="003A4D20"/>
    <w:rsid w:val="003C06A9"/>
    <w:rsid w:val="0041487A"/>
    <w:rsid w:val="004523D0"/>
    <w:rsid w:val="004544A1"/>
    <w:rsid w:val="004B5F07"/>
    <w:rsid w:val="004D1E70"/>
    <w:rsid w:val="004E075C"/>
    <w:rsid w:val="00533B10"/>
    <w:rsid w:val="00623DD5"/>
    <w:rsid w:val="00642B58"/>
    <w:rsid w:val="00773671"/>
    <w:rsid w:val="008A5982"/>
    <w:rsid w:val="008C69D8"/>
    <w:rsid w:val="00964442"/>
    <w:rsid w:val="00AC058B"/>
    <w:rsid w:val="00BB115A"/>
    <w:rsid w:val="00BB5A01"/>
    <w:rsid w:val="00BE7362"/>
    <w:rsid w:val="00D054A2"/>
    <w:rsid w:val="00D55BBB"/>
    <w:rsid w:val="00D6345A"/>
    <w:rsid w:val="00E4083E"/>
    <w:rsid w:val="00E738BA"/>
    <w:rsid w:val="00EE3AB9"/>
    <w:rsid w:val="00F019F3"/>
    <w:rsid w:val="00FA0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A8C5"/>
  <w15:docId w15:val="{595E36CF-5B29-4F47-8F05-29D20712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60" w:hanging="542"/>
    </w:pPr>
  </w:style>
  <w:style w:type="paragraph" w:customStyle="1" w:styleId="TableParagraph">
    <w:name w:val="Table Paragraph"/>
    <w:basedOn w:val="Normal"/>
    <w:uiPriority w:val="1"/>
    <w:qFormat/>
  </w:style>
  <w:style w:type="paragraph" w:styleId="Revision">
    <w:name w:val="Revision"/>
    <w:hidden/>
    <w:uiPriority w:val="99"/>
    <w:semiHidden/>
    <w:rsid w:val="00FA080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B5A01"/>
    <w:rPr>
      <w:color w:val="0000FF" w:themeColor="hyperlink"/>
      <w:u w:val="single"/>
    </w:rPr>
  </w:style>
  <w:style w:type="character" w:styleId="UnresolvedMention">
    <w:name w:val="Unresolved Mention"/>
    <w:basedOn w:val="DefaultParagraphFont"/>
    <w:uiPriority w:val="99"/>
    <w:semiHidden/>
    <w:unhideWhenUsed/>
    <w:rsid w:val="00BB5A01"/>
    <w:rPr>
      <w:color w:val="605E5C"/>
      <w:shd w:val="clear" w:color="auto" w:fill="E1DFDD"/>
    </w:rPr>
  </w:style>
  <w:style w:type="character" w:styleId="FollowedHyperlink">
    <w:name w:val="FollowedHyperlink"/>
    <w:basedOn w:val="DefaultParagraphFont"/>
    <w:uiPriority w:val="99"/>
    <w:semiHidden/>
    <w:unhideWhenUsed/>
    <w:rsid w:val="00BB5A01"/>
    <w:rPr>
      <w:color w:val="800080" w:themeColor="followedHyperlink"/>
      <w:u w:val="single"/>
    </w:rPr>
  </w:style>
  <w:style w:type="character" w:styleId="CommentReference">
    <w:name w:val="annotation reference"/>
    <w:basedOn w:val="DefaultParagraphFont"/>
    <w:uiPriority w:val="99"/>
    <w:semiHidden/>
    <w:unhideWhenUsed/>
    <w:rsid w:val="004E075C"/>
    <w:rPr>
      <w:sz w:val="16"/>
      <w:szCs w:val="16"/>
    </w:rPr>
  </w:style>
  <w:style w:type="paragraph" w:styleId="CommentText">
    <w:name w:val="annotation text"/>
    <w:basedOn w:val="Normal"/>
    <w:link w:val="CommentTextChar"/>
    <w:uiPriority w:val="99"/>
    <w:semiHidden/>
    <w:unhideWhenUsed/>
    <w:rsid w:val="004E075C"/>
    <w:rPr>
      <w:sz w:val="20"/>
      <w:szCs w:val="20"/>
    </w:rPr>
  </w:style>
  <w:style w:type="character" w:customStyle="1" w:styleId="CommentTextChar">
    <w:name w:val="Comment Text Char"/>
    <w:basedOn w:val="DefaultParagraphFont"/>
    <w:link w:val="CommentText"/>
    <w:uiPriority w:val="99"/>
    <w:semiHidden/>
    <w:rsid w:val="004E07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075C"/>
    <w:rPr>
      <w:b/>
      <w:bCs/>
    </w:rPr>
  </w:style>
  <w:style w:type="character" w:customStyle="1" w:styleId="CommentSubjectChar">
    <w:name w:val="Comment Subject Char"/>
    <w:basedOn w:val="CommentTextChar"/>
    <w:link w:val="CommentSubject"/>
    <w:uiPriority w:val="99"/>
    <w:semiHidden/>
    <w:rsid w:val="004E075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E075C"/>
    <w:pPr>
      <w:tabs>
        <w:tab w:val="center" w:pos="4680"/>
        <w:tab w:val="right" w:pos="9360"/>
      </w:tabs>
    </w:pPr>
  </w:style>
  <w:style w:type="character" w:customStyle="1" w:styleId="HeaderChar">
    <w:name w:val="Header Char"/>
    <w:basedOn w:val="DefaultParagraphFont"/>
    <w:link w:val="Header"/>
    <w:uiPriority w:val="99"/>
    <w:rsid w:val="004E075C"/>
    <w:rPr>
      <w:rFonts w:ascii="Times New Roman" w:eastAsia="Times New Roman" w:hAnsi="Times New Roman" w:cs="Times New Roman"/>
    </w:rPr>
  </w:style>
  <w:style w:type="paragraph" w:styleId="Footer">
    <w:name w:val="footer"/>
    <w:basedOn w:val="Normal"/>
    <w:link w:val="FooterChar"/>
    <w:uiPriority w:val="99"/>
    <w:unhideWhenUsed/>
    <w:rsid w:val="004E075C"/>
    <w:pPr>
      <w:tabs>
        <w:tab w:val="center" w:pos="4680"/>
        <w:tab w:val="right" w:pos="9360"/>
      </w:tabs>
    </w:pPr>
  </w:style>
  <w:style w:type="character" w:customStyle="1" w:styleId="FooterChar">
    <w:name w:val="Footer Char"/>
    <w:basedOn w:val="DefaultParagraphFont"/>
    <w:link w:val="Footer"/>
    <w:uiPriority w:val="99"/>
    <w:rsid w:val="004E07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niversitypolicies.columbia.edu/content/data-classification-policy" TargetMode="External"/><Relationship Id="rId13" Type="http://schemas.openxmlformats.org/officeDocument/2006/relationships/hyperlink" Target="https://universitypolicies.columbia.edu/content/registration-and-protection-endpoints-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columbia.edu/sites/default/files/content/HRPO/HIPAAPrivacyRulePolicyREVISEDFINAL1.22.18.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library.columbia.edu/registration-and-protection-systems-policy" TargetMode="External"/><Relationship Id="rId5" Type="http://schemas.openxmlformats.org/officeDocument/2006/relationships/webSettings" Target="webSettings.xml"/><Relationship Id="rId15" Type="http://schemas.openxmlformats.org/officeDocument/2006/relationships/hyperlink" Target="https://universitypolicies.columbia.edu/content/electronic-data-security-breach-reporting-and-response-policy"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niversitypolicies.columbia.edu/content/information-security-charter" TargetMode="External"/><Relationship Id="rId14" Type="http://schemas.openxmlformats.org/officeDocument/2006/relationships/hyperlink" Target="https://universitypolicies.columbia.edu/content/email-usag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F89E-DB9C-FA4B-B371-71CD184E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IRBDataSecurityPolicyREVISED01.11.18FINALeffective1.18.18.doc</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IRBDataSecurityPolicyREVISED01.11.18FINALeffective1.18.18.doc</dc:title>
  <dc:creator>at2059</dc:creator>
  <cp:lastModifiedBy>Garcia, Karla P.</cp:lastModifiedBy>
  <cp:revision>2</cp:revision>
  <cp:lastPrinted>2022-08-26T12:49:00Z</cp:lastPrinted>
  <dcterms:created xsi:type="dcterms:W3CDTF">2022-10-18T12:28:00Z</dcterms:created>
  <dcterms:modified xsi:type="dcterms:W3CDTF">2022-10-18T12:28:00Z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PScript5.dll Version 5.2.2</vt:lpwstr>
  </property>
  <property fmtid="{D5CDD505-2E9C-101B-9397-08002B2CF9AE}" pid="4" name="LastSaved">
    <vt:filetime>2022-08-15T00:00:00Z</vt:filetime>
  </property>
  <property fmtid="{D5CDD505-2E9C-101B-9397-08002B2CF9AE}" pid="5" name="Producer">
    <vt:lpwstr>Acrobat Distiller 10.0.0 (Windows)</vt:lpwstr>
  </property>
</Properties>
</file>